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31D1" w14:textId="5451DEB5" w:rsidR="003A10B9" w:rsidRPr="00795207" w:rsidRDefault="00D3184C" w:rsidP="00602FE5">
      <w:pPr>
        <w:pStyle w:val="Heading1"/>
      </w:pPr>
      <w:r w:rsidRPr="00795207">
        <w:t>Investing In Equality</w:t>
      </w:r>
    </w:p>
    <w:p w14:paraId="5FCCE3A2" w14:textId="77777777" w:rsidR="003A10B9" w:rsidRPr="00771B3F" w:rsidRDefault="003A10B9" w:rsidP="00C76FA1">
      <w:pPr>
        <w:pStyle w:val="Title"/>
        <w:spacing w:before="1000" w:after="100"/>
        <w:contextualSpacing w:val="0"/>
      </w:pPr>
      <w:r w:rsidRPr="00771B3F">
        <w:t>A gender analysis of the South Australian Budget</w:t>
      </w:r>
    </w:p>
    <w:p w14:paraId="58AB7D73" w14:textId="77777777" w:rsidR="005F3B67" w:rsidRDefault="003A10B9" w:rsidP="001F7DFE">
      <w:pPr>
        <w:pStyle w:val="Title"/>
        <w:spacing w:after="1000"/>
        <w:contextualSpacing w:val="0"/>
      </w:pPr>
      <w:r w:rsidRPr="00771B3F">
        <w:t>2024</w:t>
      </w:r>
      <w:r w:rsidR="004F5430" w:rsidRPr="00771B3F">
        <w:t>–</w:t>
      </w:r>
      <w:r w:rsidRPr="00771B3F">
        <w:t>25</w:t>
      </w:r>
    </w:p>
    <w:p w14:paraId="5245AD58" w14:textId="7CE999AF" w:rsidR="003A10B9" w:rsidRPr="0068774C" w:rsidRDefault="000D0A0E" w:rsidP="001F7DFE">
      <w:pPr>
        <w:pStyle w:val="Title"/>
        <w:spacing w:before="1000" w:after="1000"/>
        <w:contextualSpacing w:val="0"/>
      </w:pPr>
      <w:r>
        <w:rPr>
          <w:noProof/>
        </w:rPr>
        <w:drawing>
          <wp:inline distT="0" distB="0" distL="0" distR="0" wp14:anchorId="28B9BF6C" wp14:editId="711F2EC3">
            <wp:extent cx="2520000" cy="526591"/>
            <wp:effectExtent l="0" t="0" r="0" b="6985"/>
            <wp:docPr id="1" name="Picture 1" descr="Office for Women, Government of South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ffice for Women, Government of South Australi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526591"/>
                    </a:xfrm>
                    <a:prstGeom prst="rect">
                      <a:avLst/>
                    </a:prstGeom>
                  </pic:spPr>
                </pic:pic>
              </a:graphicData>
            </a:graphic>
          </wp:inline>
        </w:drawing>
      </w:r>
      <w:r w:rsidR="003A10B9" w:rsidRPr="0068774C">
        <w:br w:type="page"/>
      </w:r>
    </w:p>
    <w:p w14:paraId="5617ED99" w14:textId="77777777" w:rsidR="003A10B9" w:rsidRPr="00795207" w:rsidRDefault="003A10B9" w:rsidP="005C1881">
      <w:pPr>
        <w:pStyle w:val="Heading2"/>
      </w:pPr>
      <w:bookmarkStart w:id="0" w:name="_Toc171501556"/>
      <w:bookmarkStart w:id="1" w:name="_Toc171501671"/>
      <w:bookmarkStart w:id="2" w:name="_Toc171502359"/>
      <w:bookmarkStart w:id="3" w:name="_Toc171511266"/>
      <w:r w:rsidRPr="00795207">
        <w:lastRenderedPageBreak/>
        <w:t>Acknowledgement of Country</w:t>
      </w:r>
      <w:bookmarkEnd w:id="0"/>
      <w:bookmarkEnd w:id="1"/>
      <w:bookmarkEnd w:id="2"/>
      <w:bookmarkEnd w:id="3"/>
    </w:p>
    <w:p w14:paraId="6F02DE3F" w14:textId="77777777" w:rsidR="003A10B9" w:rsidRDefault="003A10B9" w:rsidP="00602FE5">
      <w:r w:rsidRPr="00C96841">
        <w:t>The Department of Human Services acknowledges Aboriginal peoples as the state’s first peoples and</w:t>
      </w:r>
      <w:r>
        <w:t xml:space="preserve"> nations and recognise them as the traditional owners, occupants and ongoing custodians of the lands and waters in South Australia. We further pay our respects to their Elders past and present and recognise the vital role they play in supporting their communities.</w:t>
      </w:r>
    </w:p>
    <w:p w14:paraId="5C1504A8" w14:textId="77777777" w:rsidR="003A10B9" w:rsidRDefault="003A10B9" w:rsidP="00602FE5">
      <w:r>
        <w:t xml:space="preserve">We further acknowledge and respect the leadership and profound commitment of Aboriginal women in improving the lives of their communities, and those of the broader South Australian community, through their tireless advocacy. Aboriginal women leaders play an important role in advancing the interests of girls and women through generously sharing wisdom and culture and through their continued advocacy over years, decades and lifetimes. </w:t>
      </w:r>
      <w:r>
        <w:br w:type="page"/>
      </w:r>
    </w:p>
    <w:p w14:paraId="19DA5C49" w14:textId="0319B8AE" w:rsidR="00D3184C" w:rsidRDefault="00D3184C" w:rsidP="005C1881">
      <w:pPr>
        <w:pStyle w:val="Heading2"/>
      </w:pPr>
      <w:bookmarkStart w:id="4" w:name="_Toc171502360"/>
      <w:bookmarkStart w:id="5" w:name="_Toc171511267"/>
      <w:r>
        <w:lastRenderedPageBreak/>
        <w:t>Contents</w:t>
      </w:r>
      <w:bookmarkEnd w:id="4"/>
      <w:bookmarkEnd w:id="5"/>
    </w:p>
    <w:p w14:paraId="008E169D" w14:textId="68DD7994" w:rsidR="009100A8" w:rsidRDefault="00C341D9">
      <w:pPr>
        <w:pStyle w:val="TOC1"/>
        <w:tabs>
          <w:tab w:val="right" w:leader="dot" w:pos="9628"/>
        </w:tabs>
        <w:rPr>
          <w:rFonts w:eastAsiaTheme="minorEastAsia"/>
          <w:noProof/>
          <w:sz w:val="22"/>
          <w:szCs w:val="22"/>
          <w:lang w:eastAsia="en-AU"/>
        </w:rPr>
      </w:pPr>
      <w:r>
        <w:fldChar w:fldCharType="begin"/>
      </w:r>
      <w:r>
        <w:instrText xml:space="preserve"> TOC \h \z \u \t "Heading 2,1" </w:instrText>
      </w:r>
      <w:r>
        <w:fldChar w:fldCharType="separate"/>
      </w:r>
      <w:hyperlink w:anchor="_Toc171511268" w:history="1">
        <w:r w:rsidR="009100A8" w:rsidRPr="00365926">
          <w:rPr>
            <w:rStyle w:val="Hyperlink"/>
            <w:noProof/>
          </w:rPr>
          <w:t>A message from the Minister</w:t>
        </w:r>
        <w:r w:rsidR="009100A8">
          <w:rPr>
            <w:noProof/>
            <w:webHidden/>
          </w:rPr>
          <w:tab/>
        </w:r>
        <w:r w:rsidR="009100A8">
          <w:rPr>
            <w:noProof/>
            <w:webHidden/>
          </w:rPr>
          <w:fldChar w:fldCharType="begin"/>
        </w:r>
        <w:r w:rsidR="009100A8">
          <w:rPr>
            <w:noProof/>
            <w:webHidden/>
          </w:rPr>
          <w:instrText xml:space="preserve"> PAGEREF _Toc171511268 \h </w:instrText>
        </w:r>
        <w:r w:rsidR="009100A8">
          <w:rPr>
            <w:noProof/>
            <w:webHidden/>
          </w:rPr>
        </w:r>
        <w:r w:rsidR="009100A8">
          <w:rPr>
            <w:noProof/>
            <w:webHidden/>
          </w:rPr>
          <w:fldChar w:fldCharType="separate"/>
        </w:r>
        <w:r w:rsidR="008F706D">
          <w:rPr>
            <w:noProof/>
            <w:webHidden/>
          </w:rPr>
          <w:t>4</w:t>
        </w:r>
        <w:r w:rsidR="009100A8">
          <w:rPr>
            <w:noProof/>
            <w:webHidden/>
          </w:rPr>
          <w:fldChar w:fldCharType="end"/>
        </w:r>
      </w:hyperlink>
    </w:p>
    <w:p w14:paraId="66062D32" w14:textId="74AE0F9F" w:rsidR="009100A8" w:rsidRDefault="00643E29">
      <w:pPr>
        <w:pStyle w:val="TOC1"/>
        <w:tabs>
          <w:tab w:val="right" w:leader="dot" w:pos="9628"/>
        </w:tabs>
        <w:rPr>
          <w:rFonts w:eastAsiaTheme="minorEastAsia"/>
          <w:noProof/>
          <w:sz w:val="22"/>
          <w:szCs w:val="22"/>
          <w:lang w:eastAsia="en-AU"/>
        </w:rPr>
      </w:pPr>
      <w:hyperlink w:anchor="_Toc171511269" w:history="1">
        <w:r w:rsidR="009100A8" w:rsidRPr="00365926">
          <w:rPr>
            <w:rStyle w:val="Hyperlink"/>
            <w:noProof/>
          </w:rPr>
          <w:t>Introduction</w:t>
        </w:r>
        <w:r w:rsidR="009100A8">
          <w:rPr>
            <w:noProof/>
            <w:webHidden/>
          </w:rPr>
          <w:tab/>
        </w:r>
        <w:r w:rsidR="009100A8">
          <w:rPr>
            <w:noProof/>
            <w:webHidden/>
          </w:rPr>
          <w:fldChar w:fldCharType="begin"/>
        </w:r>
        <w:r w:rsidR="009100A8">
          <w:rPr>
            <w:noProof/>
            <w:webHidden/>
          </w:rPr>
          <w:instrText xml:space="preserve"> PAGEREF _Toc171511269 \h </w:instrText>
        </w:r>
        <w:r w:rsidR="009100A8">
          <w:rPr>
            <w:noProof/>
            <w:webHidden/>
          </w:rPr>
        </w:r>
        <w:r w:rsidR="009100A8">
          <w:rPr>
            <w:noProof/>
            <w:webHidden/>
          </w:rPr>
          <w:fldChar w:fldCharType="separate"/>
        </w:r>
        <w:r w:rsidR="008F706D">
          <w:rPr>
            <w:noProof/>
            <w:webHidden/>
          </w:rPr>
          <w:t>5</w:t>
        </w:r>
        <w:r w:rsidR="009100A8">
          <w:rPr>
            <w:noProof/>
            <w:webHidden/>
          </w:rPr>
          <w:fldChar w:fldCharType="end"/>
        </w:r>
      </w:hyperlink>
    </w:p>
    <w:p w14:paraId="1600BECB" w14:textId="3ACA0446" w:rsidR="009100A8" w:rsidRDefault="00643E29">
      <w:pPr>
        <w:pStyle w:val="TOC1"/>
        <w:tabs>
          <w:tab w:val="right" w:leader="dot" w:pos="9628"/>
        </w:tabs>
        <w:rPr>
          <w:rFonts w:eastAsiaTheme="minorEastAsia"/>
          <w:noProof/>
          <w:sz w:val="22"/>
          <w:szCs w:val="22"/>
          <w:lang w:eastAsia="en-AU"/>
        </w:rPr>
      </w:pPr>
      <w:hyperlink w:anchor="_Toc171511270" w:history="1">
        <w:r w:rsidR="009100A8" w:rsidRPr="00365926">
          <w:rPr>
            <w:rStyle w:val="Hyperlink"/>
            <w:noProof/>
          </w:rPr>
          <w:t>Safety and Security</w:t>
        </w:r>
        <w:r w:rsidR="009100A8">
          <w:rPr>
            <w:noProof/>
            <w:webHidden/>
          </w:rPr>
          <w:tab/>
        </w:r>
        <w:r w:rsidR="009100A8">
          <w:rPr>
            <w:noProof/>
            <w:webHidden/>
          </w:rPr>
          <w:fldChar w:fldCharType="begin"/>
        </w:r>
        <w:r w:rsidR="009100A8">
          <w:rPr>
            <w:noProof/>
            <w:webHidden/>
          </w:rPr>
          <w:instrText xml:space="preserve"> PAGEREF _Toc171511270 \h </w:instrText>
        </w:r>
        <w:r w:rsidR="009100A8">
          <w:rPr>
            <w:noProof/>
            <w:webHidden/>
          </w:rPr>
        </w:r>
        <w:r w:rsidR="009100A8">
          <w:rPr>
            <w:noProof/>
            <w:webHidden/>
          </w:rPr>
          <w:fldChar w:fldCharType="separate"/>
        </w:r>
        <w:r w:rsidR="008F706D">
          <w:rPr>
            <w:noProof/>
            <w:webHidden/>
          </w:rPr>
          <w:t>6</w:t>
        </w:r>
        <w:r w:rsidR="009100A8">
          <w:rPr>
            <w:noProof/>
            <w:webHidden/>
          </w:rPr>
          <w:fldChar w:fldCharType="end"/>
        </w:r>
      </w:hyperlink>
    </w:p>
    <w:p w14:paraId="35A438B4" w14:textId="305826E8" w:rsidR="009100A8" w:rsidRDefault="00643E29">
      <w:pPr>
        <w:pStyle w:val="TOC1"/>
        <w:tabs>
          <w:tab w:val="right" w:leader="dot" w:pos="9628"/>
        </w:tabs>
        <w:rPr>
          <w:rFonts w:eastAsiaTheme="minorEastAsia"/>
          <w:noProof/>
          <w:sz w:val="22"/>
          <w:szCs w:val="22"/>
          <w:lang w:eastAsia="en-AU"/>
        </w:rPr>
      </w:pPr>
      <w:hyperlink w:anchor="_Toc171511271" w:history="1">
        <w:r w:rsidR="009100A8" w:rsidRPr="00365926">
          <w:rPr>
            <w:rStyle w:val="Hyperlink"/>
            <w:noProof/>
          </w:rPr>
          <w:t>Housing and Homelessness</w:t>
        </w:r>
        <w:r w:rsidR="009100A8">
          <w:rPr>
            <w:noProof/>
            <w:webHidden/>
          </w:rPr>
          <w:tab/>
        </w:r>
        <w:r w:rsidR="009100A8">
          <w:rPr>
            <w:noProof/>
            <w:webHidden/>
          </w:rPr>
          <w:fldChar w:fldCharType="begin"/>
        </w:r>
        <w:r w:rsidR="009100A8">
          <w:rPr>
            <w:noProof/>
            <w:webHidden/>
          </w:rPr>
          <w:instrText xml:space="preserve"> PAGEREF _Toc171511271 \h </w:instrText>
        </w:r>
        <w:r w:rsidR="009100A8">
          <w:rPr>
            <w:noProof/>
            <w:webHidden/>
          </w:rPr>
        </w:r>
        <w:r w:rsidR="009100A8">
          <w:rPr>
            <w:noProof/>
            <w:webHidden/>
          </w:rPr>
          <w:fldChar w:fldCharType="separate"/>
        </w:r>
        <w:r w:rsidR="008F706D">
          <w:rPr>
            <w:noProof/>
            <w:webHidden/>
          </w:rPr>
          <w:t>8</w:t>
        </w:r>
        <w:r w:rsidR="009100A8">
          <w:rPr>
            <w:noProof/>
            <w:webHidden/>
          </w:rPr>
          <w:fldChar w:fldCharType="end"/>
        </w:r>
      </w:hyperlink>
    </w:p>
    <w:p w14:paraId="78202BC0" w14:textId="6F637AF3" w:rsidR="009100A8" w:rsidRDefault="00643E29">
      <w:pPr>
        <w:pStyle w:val="TOC1"/>
        <w:tabs>
          <w:tab w:val="right" w:leader="dot" w:pos="9628"/>
        </w:tabs>
        <w:rPr>
          <w:rFonts w:eastAsiaTheme="minorEastAsia"/>
          <w:noProof/>
          <w:sz w:val="22"/>
          <w:szCs w:val="22"/>
          <w:lang w:eastAsia="en-AU"/>
        </w:rPr>
      </w:pPr>
      <w:hyperlink w:anchor="_Toc171511272" w:history="1">
        <w:r w:rsidR="009100A8" w:rsidRPr="00365926">
          <w:rPr>
            <w:rStyle w:val="Hyperlink"/>
            <w:noProof/>
          </w:rPr>
          <w:t>Cost of Living</w:t>
        </w:r>
        <w:r w:rsidR="009100A8">
          <w:rPr>
            <w:noProof/>
            <w:webHidden/>
          </w:rPr>
          <w:tab/>
        </w:r>
        <w:r w:rsidR="009100A8">
          <w:rPr>
            <w:noProof/>
            <w:webHidden/>
          </w:rPr>
          <w:fldChar w:fldCharType="begin"/>
        </w:r>
        <w:r w:rsidR="009100A8">
          <w:rPr>
            <w:noProof/>
            <w:webHidden/>
          </w:rPr>
          <w:instrText xml:space="preserve"> PAGEREF _Toc171511272 \h </w:instrText>
        </w:r>
        <w:r w:rsidR="009100A8">
          <w:rPr>
            <w:noProof/>
            <w:webHidden/>
          </w:rPr>
        </w:r>
        <w:r w:rsidR="009100A8">
          <w:rPr>
            <w:noProof/>
            <w:webHidden/>
          </w:rPr>
          <w:fldChar w:fldCharType="separate"/>
        </w:r>
        <w:r w:rsidR="008F706D">
          <w:rPr>
            <w:noProof/>
            <w:webHidden/>
          </w:rPr>
          <w:t>10</w:t>
        </w:r>
        <w:r w:rsidR="009100A8">
          <w:rPr>
            <w:noProof/>
            <w:webHidden/>
          </w:rPr>
          <w:fldChar w:fldCharType="end"/>
        </w:r>
      </w:hyperlink>
    </w:p>
    <w:p w14:paraId="053B6734" w14:textId="3BF623B6" w:rsidR="009100A8" w:rsidRDefault="00643E29">
      <w:pPr>
        <w:pStyle w:val="TOC1"/>
        <w:tabs>
          <w:tab w:val="right" w:leader="dot" w:pos="9628"/>
        </w:tabs>
        <w:rPr>
          <w:rFonts w:eastAsiaTheme="minorEastAsia"/>
          <w:noProof/>
          <w:sz w:val="22"/>
          <w:szCs w:val="22"/>
          <w:lang w:eastAsia="en-AU"/>
        </w:rPr>
      </w:pPr>
      <w:hyperlink w:anchor="_Toc171511273" w:history="1">
        <w:r w:rsidR="009100A8" w:rsidRPr="00365926">
          <w:rPr>
            <w:rStyle w:val="Hyperlink"/>
            <w:noProof/>
          </w:rPr>
          <w:t>Early Childhood Services and Support</w:t>
        </w:r>
        <w:r w:rsidR="009100A8">
          <w:rPr>
            <w:noProof/>
            <w:webHidden/>
          </w:rPr>
          <w:tab/>
        </w:r>
        <w:r w:rsidR="009100A8">
          <w:rPr>
            <w:noProof/>
            <w:webHidden/>
          </w:rPr>
          <w:fldChar w:fldCharType="begin"/>
        </w:r>
        <w:r w:rsidR="009100A8">
          <w:rPr>
            <w:noProof/>
            <w:webHidden/>
          </w:rPr>
          <w:instrText xml:space="preserve"> PAGEREF _Toc171511273 \h </w:instrText>
        </w:r>
        <w:r w:rsidR="009100A8">
          <w:rPr>
            <w:noProof/>
            <w:webHidden/>
          </w:rPr>
        </w:r>
        <w:r w:rsidR="009100A8">
          <w:rPr>
            <w:noProof/>
            <w:webHidden/>
          </w:rPr>
          <w:fldChar w:fldCharType="separate"/>
        </w:r>
        <w:r w:rsidR="008F706D">
          <w:rPr>
            <w:noProof/>
            <w:webHidden/>
          </w:rPr>
          <w:t>12</w:t>
        </w:r>
        <w:r w:rsidR="009100A8">
          <w:rPr>
            <w:noProof/>
            <w:webHidden/>
          </w:rPr>
          <w:fldChar w:fldCharType="end"/>
        </w:r>
      </w:hyperlink>
    </w:p>
    <w:p w14:paraId="52F2F282" w14:textId="53A00765" w:rsidR="009100A8" w:rsidRDefault="00643E29">
      <w:pPr>
        <w:pStyle w:val="TOC1"/>
        <w:tabs>
          <w:tab w:val="right" w:leader="dot" w:pos="9628"/>
        </w:tabs>
        <w:rPr>
          <w:rFonts w:eastAsiaTheme="minorEastAsia"/>
          <w:noProof/>
          <w:sz w:val="22"/>
          <w:szCs w:val="22"/>
          <w:lang w:eastAsia="en-AU"/>
        </w:rPr>
      </w:pPr>
      <w:hyperlink w:anchor="_Toc171511274" w:history="1">
        <w:r w:rsidR="009100A8" w:rsidRPr="00365926">
          <w:rPr>
            <w:rStyle w:val="Hyperlink"/>
            <w:noProof/>
          </w:rPr>
          <w:t>Skills and Training</w:t>
        </w:r>
        <w:r w:rsidR="009100A8">
          <w:rPr>
            <w:noProof/>
            <w:webHidden/>
          </w:rPr>
          <w:tab/>
        </w:r>
        <w:r w:rsidR="009100A8">
          <w:rPr>
            <w:noProof/>
            <w:webHidden/>
          </w:rPr>
          <w:fldChar w:fldCharType="begin"/>
        </w:r>
        <w:r w:rsidR="009100A8">
          <w:rPr>
            <w:noProof/>
            <w:webHidden/>
          </w:rPr>
          <w:instrText xml:space="preserve"> PAGEREF _Toc171511274 \h </w:instrText>
        </w:r>
        <w:r w:rsidR="009100A8">
          <w:rPr>
            <w:noProof/>
            <w:webHidden/>
          </w:rPr>
        </w:r>
        <w:r w:rsidR="009100A8">
          <w:rPr>
            <w:noProof/>
            <w:webHidden/>
          </w:rPr>
          <w:fldChar w:fldCharType="separate"/>
        </w:r>
        <w:r w:rsidR="008F706D">
          <w:rPr>
            <w:noProof/>
            <w:webHidden/>
          </w:rPr>
          <w:t>14</w:t>
        </w:r>
        <w:r w:rsidR="009100A8">
          <w:rPr>
            <w:noProof/>
            <w:webHidden/>
          </w:rPr>
          <w:fldChar w:fldCharType="end"/>
        </w:r>
      </w:hyperlink>
    </w:p>
    <w:p w14:paraId="4D4E3D0B" w14:textId="237B72F5" w:rsidR="009100A8" w:rsidRDefault="00643E29">
      <w:pPr>
        <w:pStyle w:val="TOC1"/>
        <w:tabs>
          <w:tab w:val="right" w:leader="dot" w:pos="9628"/>
        </w:tabs>
        <w:rPr>
          <w:rFonts w:eastAsiaTheme="minorEastAsia"/>
          <w:noProof/>
          <w:sz w:val="22"/>
          <w:szCs w:val="22"/>
          <w:lang w:eastAsia="en-AU"/>
        </w:rPr>
      </w:pPr>
      <w:hyperlink w:anchor="_Toc171511275" w:history="1">
        <w:r w:rsidR="009100A8" w:rsidRPr="00365926">
          <w:rPr>
            <w:rStyle w:val="Hyperlink"/>
            <w:noProof/>
          </w:rPr>
          <w:t>Participation in Business</w:t>
        </w:r>
        <w:r w:rsidR="009100A8">
          <w:rPr>
            <w:noProof/>
            <w:webHidden/>
          </w:rPr>
          <w:tab/>
        </w:r>
        <w:r w:rsidR="009100A8">
          <w:rPr>
            <w:noProof/>
            <w:webHidden/>
          </w:rPr>
          <w:fldChar w:fldCharType="begin"/>
        </w:r>
        <w:r w:rsidR="009100A8">
          <w:rPr>
            <w:noProof/>
            <w:webHidden/>
          </w:rPr>
          <w:instrText xml:space="preserve"> PAGEREF _Toc171511275 \h </w:instrText>
        </w:r>
        <w:r w:rsidR="009100A8">
          <w:rPr>
            <w:noProof/>
            <w:webHidden/>
          </w:rPr>
        </w:r>
        <w:r w:rsidR="009100A8">
          <w:rPr>
            <w:noProof/>
            <w:webHidden/>
          </w:rPr>
          <w:fldChar w:fldCharType="separate"/>
        </w:r>
        <w:r w:rsidR="008F706D">
          <w:rPr>
            <w:noProof/>
            <w:webHidden/>
          </w:rPr>
          <w:t>16</w:t>
        </w:r>
        <w:r w:rsidR="009100A8">
          <w:rPr>
            <w:noProof/>
            <w:webHidden/>
          </w:rPr>
          <w:fldChar w:fldCharType="end"/>
        </w:r>
      </w:hyperlink>
    </w:p>
    <w:p w14:paraId="4D88A457" w14:textId="633512B1" w:rsidR="009100A8" w:rsidRDefault="00643E29">
      <w:pPr>
        <w:pStyle w:val="TOC1"/>
        <w:tabs>
          <w:tab w:val="right" w:leader="dot" w:pos="9628"/>
        </w:tabs>
        <w:rPr>
          <w:rFonts w:eastAsiaTheme="minorEastAsia"/>
          <w:noProof/>
          <w:sz w:val="22"/>
          <w:szCs w:val="22"/>
          <w:lang w:eastAsia="en-AU"/>
        </w:rPr>
      </w:pPr>
      <w:hyperlink w:anchor="_Toc171511276" w:history="1">
        <w:r w:rsidR="009100A8" w:rsidRPr="00365926">
          <w:rPr>
            <w:rStyle w:val="Hyperlink"/>
            <w:noProof/>
          </w:rPr>
          <w:t>Participation in Sport</w:t>
        </w:r>
        <w:r w:rsidR="009100A8">
          <w:rPr>
            <w:noProof/>
            <w:webHidden/>
          </w:rPr>
          <w:tab/>
        </w:r>
        <w:r w:rsidR="009100A8">
          <w:rPr>
            <w:noProof/>
            <w:webHidden/>
          </w:rPr>
          <w:fldChar w:fldCharType="begin"/>
        </w:r>
        <w:r w:rsidR="009100A8">
          <w:rPr>
            <w:noProof/>
            <w:webHidden/>
          </w:rPr>
          <w:instrText xml:space="preserve"> PAGEREF _Toc171511276 \h </w:instrText>
        </w:r>
        <w:r w:rsidR="009100A8">
          <w:rPr>
            <w:noProof/>
            <w:webHidden/>
          </w:rPr>
        </w:r>
        <w:r w:rsidR="009100A8">
          <w:rPr>
            <w:noProof/>
            <w:webHidden/>
          </w:rPr>
          <w:fldChar w:fldCharType="separate"/>
        </w:r>
        <w:r w:rsidR="008F706D">
          <w:rPr>
            <w:noProof/>
            <w:webHidden/>
          </w:rPr>
          <w:t>17</w:t>
        </w:r>
        <w:r w:rsidR="009100A8">
          <w:rPr>
            <w:noProof/>
            <w:webHidden/>
          </w:rPr>
          <w:fldChar w:fldCharType="end"/>
        </w:r>
      </w:hyperlink>
    </w:p>
    <w:p w14:paraId="0E15732D" w14:textId="55D3C7DD" w:rsidR="009100A8" w:rsidRDefault="00643E29">
      <w:pPr>
        <w:pStyle w:val="TOC1"/>
        <w:tabs>
          <w:tab w:val="right" w:leader="dot" w:pos="9628"/>
        </w:tabs>
        <w:rPr>
          <w:rFonts w:eastAsiaTheme="minorEastAsia"/>
          <w:noProof/>
          <w:sz w:val="22"/>
          <w:szCs w:val="22"/>
          <w:lang w:eastAsia="en-AU"/>
        </w:rPr>
      </w:pPr>
      <w:hyperlink w:anchor="_Toc171511277" w:history="1">
        <w:r w:rsidR="009100A8" w:rsidRPr="00365926">
          <w:rPr>
            <w:rStyle w:val="Hyperlink"/>
            <w:noProof/>
          </w:rPr>
          <w:t>Health</w:t>
        </w:r>
        <w:r w:rsidR="009100A8">
          <w:rPr>
            <w:noProof/>
            <w:webHidden/>
          </w:rPr>
          <w:tab/>
        </w:r>
        <w:r w:rsidR="009100A8">
          <w:rPr>
            <w:noProof/>
            <w:webHidden/>
          </w:rPr>
          <w:fldChar w:fldCharType="begin"/>
        </w:r>
        <w:r w:rsidR="009100A8">
          <w:rPr>
            <w:noProof/>
            <w:webHidden/>
          </w:rPr>
          <w:instrText xml:space="preserve"> PAGEREF _Toc171511277 \h </w:instrText>
        </w:r>
        <w:r w:rsidR="009100A8">
          <w:rPr>
            <w:noProof/>
            <w:webHidden/>
          </w:rPr>
        </w:r>
        <w:r w:rsidR="009100A8">
          <w:rPr>
            <w:noProof/>
            <w:webHidden/>
          </w:rPr>
          <w:fldChar w:fldCharType="separate"/>
        </w:r>
        <w:r w:rsidR="008F706D">
          <w:rPr>
            <w:noProof/>
            <w:webHidden/>
          </w:rPr>
          <w:t>19</w:t>
        </w:r>
        <w:r w:rsidR="009100A8">
          <w:rPr>
            <w:noProof/>
            <w:webHidden/>
          </w:rPr>
          <w:fldChar w:fldCharType="end"/>
        </w:r>
      </w:hyperlink>
    </w:p>
    <w:p w14:paraId="67F04975" w14:textId="05FA5AF4" w:rsidR="009100A8" w:rsidRDefault="00643E29">
      <w:pPr>
        <w:pStyle w:val="TOC1"/>
        <w:tabs>
          <w:tab w:val="right" w:leader="dot" w:pos="9628"/>
        </w:tabs>
        <w:rPr>
          <w:rFonts w:eastAsiaTheme="minorEastAsia"/>
          <w:noProof/>
          <w:sz w:val="22"/>
          <w:szCs w:val="22"/>
          <w:lang w:eastAsia="en-AU"/>
        </w:rPr>
      </w:pPr>
      <w:hyperlink w:anchor="_Toc171511278" w:history="1">
        <w:r w:rsidR="009100A8" w:rsidRPr="00365926">
          <w:rPr>
            <w:rStyle w:val="Hyperlink"/>
            <w:noProof/>
          </w:rPr>
          <w:t>References</w:t>
        </w:r>
        <w:r w:rsidR="009100A8">
          <w:rPr>
            <w:noProof/>
            <w:webHidden/>
          </w:rPr>
          <w:tab/>
        </w:r>
        <w:r w:rsidR="009100A8">
          <w:rPr>
            <w:noProof/>
            <w:webHidden/>
          </w:rPr>
          <w:fldChar w:fldCharType="begin"/>
        </w:r>
        <w:r w:rsidR="009100A8">
          <w:rPr>
            <w:noProof/>
            <w:webHidden/>
          </w:rPr>
          <w:instrText xml:space="preserve"> PAGEREF _Toc171511278 \h </w:instrText>
        </w:r>
        <w:r w:rsidR="009100A8">
          <w:rPr>
            <w:noProof/>
            <w:webHidden/>
          </w:rPr>
        </w:r>
        <w:r w:rsidR="009100A8">
          <w:rPr>
            <w:noProof/>
            <w:webHidden/>
          </w:rPr>
          <w:fldChar w:fldCharType="separate"/>
        </w:r>
        <w:r w:rsidR="008F706D">
          <w:rPr>
            <w:noProof/>
            <w:webHidden/>
          </w:rPr>
          <w:t>20</w:t>
        </w:r>
        <w:r w:rsidR="009100A8">
          <w:rPr>
            <w:noProof/>
            <w:webHidden/>
          </w:rPr>
          <w:fldChar w:fldCharType="end"/>
        </w:r>
      </w:hyperlink>
    </w:p>
    <w:p w14:paraId="083EEB9E" w14:textId="77AFF2F7" w:rsidR="009100A8" w:rsidRDefault="00643E29">
      <w:pPr>
        <w:pStyle w:val="TOC1"/>
        <w:tabs>
          <w:tab w:val="right" w:leader="dot" w:pos="9628"/>
        </w:tabs>
        <w:rPr>
          <w:rFonts w:eastAsiaTheme="minorEastAsia"/>
          <w:noProof/>
          <w:sz w:val="22"/>
          <w:szCs w:val="22"/>
          <w:lang w:eastAsia="en-AU"/>
        </w:rPr>
      </w:pPr>
      <w:hyperlink w:anchor="_Toc171511279" w:history="1">
        <w:r w:rsidR="009100A8" w:rsidRPr="00365926">
          <w:rPr>
            <w:rStyle w:val="Hyperlink"/>
            <w:noProof/>
          </w:rPr>
          <w:t>Acronyms</w:t>
        </w:r>
        <w:r w:rsidR="009100A8">
          <w:rPr>
            <w:noProof/>
            <w:webHidden/>
          </w:rPr>
          <w:tab/>
        </w:r>
        <w:r w:rsidR="009100A8">
          <w:rPr>
            <w:noProof/>
            <w:webHidden/>
          </w:rPr>
          <w:fldChar w:fldCharType="begin"/>
        </w:r>
        <w:r w:rsidR="009100A8">
          <w:rPr>
            <w:noProof/>
            <w:webHidden/>
          </w:rPr>
          <w:instrText xml:space="preserve"> PAGEREF _Toc171511279 \h </w:instrText>
        </w:r>
        <w:r w:rsidR="009100A8">
          <w:rPr>
            <w:noProof/>
            <w:webHidden/>
          </w:rPr>
        </w:r>
        <w:r w:rsidR="009100A8">
          <w:rPr>
            <w:noProof/>
            <w:webHidden/>
          </w:rPr>
          <w:fldChar w:fldCharType="separate"/>
        </w:r>
        <w:r w:rsidR="008F706D">
          <w:rPr>
            <w:noProof/>
            <w:webHidden/>
          </w:rPr>
          <w:t>24</w:t>
        </w:r>
        <w:r w:rsidR="009100A8">
          <w:rPr>
            <w:noProof/>
            <w:webHidden/>
          </w:rPr>
          <w:fldChar w:fldCharType="end"/>
        </w:r>
      </w:hyperlink>
    </w:p>
    <w:p w14:paraId="5D38A391" w14:textId="70E1C544" w:rsidR="000C5BAE" w:rsidRDefault="00C341D9" w:rsidP="00602FE5">
      <w:pPr>
        <w:sectPr w:rsidR="000C5BAE" w:rsidSect="000C5BAE">
          <w:headerReference w:type="even" r:id="rId12"/>
          <w:footerReference w:type="even" r:id="rId13"/>
          <w:headerReference w:type="first" r:id="rId14"/>
          <w:footerReference w:type="first" r:id="rId15"/>
          <w:pgSz w:w="11906" w:h="16838"/>
          <w:pgMar w:top="1134" w:right="1134" w:bottom="1134" w:left="1134" w:header="709" w:footer="709" w:gutter="0"/>
          <w:cols w:space="708"/>
          <w:docGrid w:linePitch="360"/>
        </w:sectPr>
      </w:pPr>
      <w:r>
        <w:fldChar w:fldCharType="end"/>
      </w:r>
    </w:p>
    <w:p w14:paraId="3491FE5B" w14:textId="02239631" w:rsidR="002C024A" w:rsidRDefault="003A10B9" w:rsidP="005C1881">
      <w:pPr>
        <w:pStyle w:val="Heading2"/>
      </w:pPr>
      <w:bookmarkStart w:id="6" w:name="_Toc171501557"/>
      <w:bookmarkStart w:id="7" w:name="_Toc171511268"/>
      <w:r>
        <w:lastRenderedPageBreak/>
        <w:t>A message from the Minister</w:t>
      </w:r>
      <w:bookmarkEnd w:id="6"/>
      <w:bookmarkEnd w:id="7"/>
    </w:p>
    <w:p w14:paraId="7B86FF0E" w14:textId="77777777" w:rsidR="003A10B9" w:rsidRDefault="003A10B9" w:rsidP="00602FE5">
      <w:r>
        <w:t>The 2024–25 Budget sets a strong vision for the prosperity of all South Australians.</w:t>
      </w:r>
    </w:p>
    <w:p w14:paraId="04F3C4E9" w14:textId="77777777" w:rsidR="003A10B9" w:rsidRDefault="003A10B9" w:rsidP="00602FE5">
      <w:r>
        <w:t xml:space="preserve">The Government of South Australia is committed to ensuring that women and girls actively benefit from the </w:t>
      </w:r>
      <w:r w:rsidRPr="0569A4F7">
        <w:rPr>
          <w:i/>
        </w:rPr>
        <w:t>2024–25 State Budget</w:t>
      </w:r>
      <w:r>
        <w:t>. Investment priorities that matter for women and girls include housing, cost of living relief, jobs and skills, early childhood education and care, and health.</w:t>
      </w:r>
    </w:p>
    <w:p w14:paraId="16D5C5D6" w14:textId="77777777" w:rsidR="003A10B9" w:rsidRDefault="003A10B9" w:rsidP="00602FE5">
      <w:r>
        <w:t xml:space="preserve">In 2023, South Australia released the </w:t>
      </w:r>
      <w:r w:rsidRPr="0569A4F7">
        <w:rPr>
          <w:i/>
        </w:rPr>
        <w:t>Women’s Equality Blueprint (the Blueprint</w:t>
      </w:r>
      <w:r>
        <w:t xml:space="preserve">). Reflecting the Government of South Australia’s commitment to advancing gender equality and the fact that an equal future benefits all, the </w:t>
      </w:r>
      <w:r w:rsidRPr="0569A4F7">
        <w:rPr>
          <w:i/>
        </w:rPr>
        <w:t>Blueprint</w:t>
      </w:r>
      <w:r>
        <w:t xml:space="preserve"> is focused on the South Australian Government’s actions to empower women and girls to equally, safely and actively participate in every aspect of community life and our economy.</w:t>
      </w:r>
    </w:p>
    <w:p w14:paraId="22135625" w14:textId="106D9A9A" w:rsidR="003A10B9" w:rsidRDefault="003A10B9" w:rsidP="00602FE5">
      <w:r>
        <w:t xml:space="preserve">The </w:t>
      </w:r>
      <w:r w:rsidRPr="0569A4F7">
        <w:rPr>
          <w:i/>
        </w:rPr>
        <w:t xml:space="preserve">Blueprint </w:t>
      </w:r>
      <w:r>
        <w:t>prioritises women’s safety and security, recognising the right of women and children to live free from violence is a cross</w:t>
      </w:r>
      <w:r w:rsidR="00151301">
        <w:t>-</w:t>
      </w:r>
      <w:r>
        <w:t xml:space="preserve">government priority that aligns with </w:t>
      </w:r>
      <w:r w:rsidR="0062175E">
        <w:t>South Australia</w:t>
      </w:r>
      <w:r>
        <w:t xml:space="preserve">’s commitments under the </w:t>
      </w:r>
      <w:r w:rsidRPr="0569A4F7">
        <w:rPr>
          <w:i/>
        </w:rPr>
        <w:t>National Plan to End Violence against Women and Children 2022–32.</w:t>
      </w:r>
    </w:p>
    <w:p w14:paraId="5ADC9425" w14:textId="77777777" w:rsidR="003A10B9" w:rsidRDefault="003A10B9" w:rsidP="00602FE5">
      <w:r>
        <w:t>The Royal Commission into Domestic, Family and Sexual Violence (DFSV) will also help ensure the government has a strong and contemporary evidence base to drive effective and lasting change in South Australia, informed by the voices of survivors and those in the sector working every day to support and empower women and children.</w:t>
      </w:r>
    </w:p>
    <w:p w14:paraId="5B2C2CF3" w14:textId="77777777" w:rsidR="003A10B9" w:rsidRDefault="003A10B9" w:rsidP="00602FE5">
      <w:r>
        <w:t>Women’s equality is about more than safety and security—it is also crucial that we continue to work to advance women’s opportunities for leadership and participation, their economic wellbeing, and support the health needs of women and girls.</w:t>
      </w:r>
    </w:p>
    <w:p w14:paraId="1954C74A" w14:textId="77777777" w:rsidR="00C63438" w:rsidRDefault="003A10B9" w:rsidP="00602FE5">
      <w:r>
        <w:t xml:space="preserve">This overview reflects the vision, principles and priorities of the </w:t>
      </w:r>
      <w:r w:rsidRPr="0569A4F7">
        <w:rPr>
          <w:i/>
        </w:rPr>
        <w:t>2024–25 State Budget</w:t>
      </w:r>
      <w:r>
        <w:t xml:space="preserve"> and demonstrates our strong aspiration for South Australia’s women and girls to live in a fair and inclusive state where gender has no bearing on the opportunities available to you. </w:t>
      </w:r>
    </w:p>
    <w:p w14:paraId="48C55A7E" w14:textId="3599DF6B" w:rsidR="003A10B9" w:rsidRPr="009100A8" w:rsidRDefault="00C63438" w:rsidP="00602FE5">
      <w:pPr>
        <w:rPr>
          <w:b/>
          <w:bCs/>
        </w:rPr>
      </w:pPr>
      <w:r w:rsidRPr="009100A8">
        <w:rPr>
          <w:b/>
          <w:bCs/>
        </w:rPr>
        <w:t>The Minister for Women and the Prevention of Domestic, Family and Sexual Violence</w:t>
      </w:r>
      <w:r w:rsidR="00313616" w:rsidRPr="009100A8">
        <w:rPr>
          <w:b/>
          <w:bCs/>
        </w:rPr>
        <w:t>,</w:t>
      </w:r>
      <w:r w:rsidR="009100A8" w:rsidRPr="009100A8">
        <w:rPr>
          <w:b/>
          <w:bCs/>
        </w:rPr>
        <w:br/>
      </w:r>
      <w:r w:rsidRPr="009100A8">
        <w:rPr>
          <w:b/>
          <w:bCs/>
        </w:rPr>
        <w:t>The Hon Katrine Hildyard MP</w:t>
      </w:r>
      <w:r w:rsidR="003A10B9" w:rsidRPr="009100A8">
        <w:rPr>
          <w:b/>
          <w:bCs/>
        </w:rPr>
        <w:br w:type="page"/>
      </w:r>
    </w:p>
    <w:p w14:paraId="42D80CE8" w14:textId="77777777" w:rsidR="005F3B67" w:rsidRPr="005F3B67" w:rsidRDefault="003A10B9" w:rsidP="005C1881">
      <w:pPr>
        <w:pStyle w:val="Heading2"/>
      </w:pPr>
      <w:bookmarkStart w:id="8" w:name="_Toc171501559"/>
      <w:bookmarkStart w:id="9" w:name="_Toc171511269"/>
      <w:r w:rsidRPr="005F3B67">
        <w:lastRenderedPageBreak/>
        <w:t>Introduction</w:t>
      </w:r>
      <w:bookmarkEnd w:id="8"/>
      <w:bookmarkEnd w:id="9"/>
    </w:p>
    <w:p w14:paraId="25C73390" w14:textId="58EE2396" w:rsidR="003A10B9" w:rsidRPr="005F3B67" w:rsidRDefault="003A10B9" w:rsidP="005C1881">
      <w:pPr>
        <w:pStyle w:val="Heading3"/>
      </w:pPr>
      <w:bookmarkStart w:id="10" w:name="_Toc171501560"/>
      <w:r w:rsidRPr="005F3B67">
        <w:t>Purpose</w:t>
      </w:r>
      <w:bookmarkEnd w:id="10"/>
    </w:p>
    <w:p w14:paraId="6611DB13" w14:textId="77777777" w:rsidR="003A10B9" w:rsidRDefault="003A10B9" w:rsidP="00602FE5">
      <w:r w:rsidRPr="0569A4F7">
        <w:rPr>
          <w:i/>
        </w:rPr>
        <w:t>Investing in Equality</w:t>
      </w:r>
      <w:r>
        <w:t xml:space="preserve"> is an overview of the 2024–25 budget measures that will have lasting impact for women and girls.</w:t>
      </w:r>
    </w:p>
    <w:p w14:paraId="1415B3B1" w14:textId="77777777" w:rsidR="005F3B67" w:rsidRDefault="003A10B9" w:rsidP="00602FE5">
      <w:r>
        <w:t xml:space="preserve">It explains the key funding across eight areas of the Budget that connect to the </w:t>
      </w:r>
      <w:r w:rsidRPr="0569A4F7">
        <w:rPr>
          <w:i/>
        </w:rPr>
        <w:t xml:space="preserve">Blueprint’s </w:t>
      </w:r>
      <w:r>
        <w:t>four priority areas of safety and security, leadership and participation, economic wellbeing, and health.</w:t>
      </w:r>
    </w:p>
    <w:p w14:paraId="437576CD" w14:textId="017F84C9" w:rsidR="003A10B9" w:rsidRDefault="003A10B9" w:rsidP="005C1881">
      <w:pPr>
        <w:pStyle w:val="Heading3"/>
      </w:pPr>
      <w:bookmarkStart w:id="11" w:name="_Toc171501561"/>
      <w:r>
        <w:t>Vision</w:t>
      </w:r>
      <w:bookmarkEnd w:id="11"/>
    </w:p>
    <w:p w14:paraId="735DDFC4" w14:textId="77777777" w:rsidR="005F3B67" w:rsidRDefault="003A10B9" w:rsidP="00602FE5">
      <w:r>
        <w:t>South Australia is a fair and inclusive state in which women and girls can equally and actively participate in the economy and all aspects of community life.</w:t>
      </w:r>
    </w:p>
    <w:p w14:paraId="1F6F250D" w14:textId="5771D579" w:rsidR="003A10B9" w:rsidRDefault="003A10B9" w:rsidP="00602FE5">
      <w:r>
        <w:br w:type="page"/>
      </w:r>
    </w:p>
    <w:p w14:paraId="3D3A93F4" w14:textId="77777777" w:rsidR="005F3B67" w:rsidRDefault="003A10B9" w:rsidP="005C1881">
      <w:pPr>
        <w:pStyle w:val="Heading2"/>
      </w:pPr>
      <w:bookmarkStart w:id="12" w:name="_Toc171501562"/>
      <w:bookmarkStart w:id="13" w:name="_Toc171511270"/>
      <w:r>
        <w:lastRenderedPageBreak/>
        <w:t>Safety and Security</w:t>
      </w:r>
      <w:bookmarkEnd w:id="12"/>
      <w:bookmarkEnd w:id="13"/>
    </w:p>
    <w:p w14:paraId="44BB2756" w14:textId="67D6F9D0" w:rsidR="003A10B9" w:rsidRDefault="003A10B9" w:rsidP="005C1881">
      <w:pPr>
        <w:pStyle w:val="Heading3"/>
      </w:pPr>
      <w:bookmarkStart w:id="14" w:name="_Toc171501563"/>
      <w:r>
        <w:t>Why is this important for women and girls?</w:t>
      </w:r>
      <w:bookmarkEnd w:id="14"/>
      <w:r>
        <w:t xml:space="preserve"> </w:t>
      </w:r>
    </w:p>
    <w:p w14:paraId="5AE0F112" w14:textId="77777777" w:rsidR="003A10B9" w:rsidRDefault="003A10B9" w:rsidP="00602FE5">
      <w:r>
        <w:t>Women’s safety is essential to achieving gender equality.</w:t>
      </w:r>
    </w:p>
    <w:p w14:paraId="028D2FC9" w14:textId="77777777" w:rsidR="003A10B9" w:rsidRDefault="003A10B9" w:rsidP="00602FE5">
      <w:r>
        <w:t>As well as being a cause and consequence of gender inequality, experience of violence, harassment and discrimination can have significant detrimental impact on women’s wellbeing and can lead to financial and housing insecurity, with domestic and family violence the leading driver of homelessness for women.</w:t>
      </w:r>
    </w:p>
    <w:p w14:paraId="41A5C043" w14:textId="3ACCCA69" w:rsidR="005F3B67" w:rsidRDefault="003A10B9" w:rsidP="00602FE5">
      <w:r>
        <w:t xml:space="preserve">Women experience </w:t>
      </w:r>
      <w:r w:rsidR="00DF254F">
        <w:t xml:space="preserve">Domestic, Family and Sexual Violence (DFSV) </w:t>
      </w:r>
      <w:r>
        <w:t>at higher rates than men, and in South Australia women experience sexual violence at a higher</w:t>
      </w:r>
      <w:r w:rsidR="00151301">
        <w:t>-</w:t>
      </w:r>
      <w:r>
        <w:t>than</w:t>
      </w:r>
      <w:r w:rsidR="00151301">
        <w:t>-</w:t>
      </w:r>
      <w:r>
        <w:t>national rate.</w:t>
      </w:r>
      <w:r w:rsidRPr="00E0524D">
        <w:rPr>
          <w:vertAlign w:val="superscript"/>
        </w:rPr>
        <w:t>(1)</w:t>
      </w:r>
      <w:r>
        <w:t xml:space="preserve"> There is</w:t>
      </w:r>
      <w:r w:rsidR="009C69A5">
        <w:t xml:space="preserve"> </w:t>
      </w:r>
      <w:r>
        <w:t>urgent need for programs and initiatives that prevent violence against women, tackle perpetrator behaviour and ensure survivors have timely access to support.</w:t>
      </w:r>
    </w:p>
    <w:p w14:paraId="30ACF163" w14:textId="19E357A3" w:rsidR="003A10B9" w:rsidRDefault="003A10B9" w:rsidP="005C1881">
      <w:pPr>
        <w:pStyle w:val="Heading3"/>
      </w:pPr>
      <w:bookmarkStart w:id="15" w:name="_Toc171501564"/>
      <w:r>
        <w:t>Contributing 2024–2025 budget measures</w:t>
      </w:r>
      <w:bookmarkEnd w:id="15"/>
      <w:r>
        <w:t xml:space="preserve"> </w:t>
      </w:r>
    </w:p>
    <w:p w14:paraId="75B53B4D" w14:textId="6B81F45C" w:rsidR="003A10B9" w:rsidRPr="003B0279" w:rsidRDefault="003A10B9" w:rsidP="00602FE5">
      <w:pPr>
        <w:pStyle w:val="Bullet"/>
      </w:pPr>
      <w:r w:rsidRPr="003B0279">
        <w:t>$3.3 million in 2024–25 to ensure the continuation of a number of innovative domestic violence pilot programs, including holistic support to Aboriginal families, earlier and trauma</w:t>
      </w:r>
      <w:r w:rsidR="00151301" w:rsidRPr="003B0279">
        <w:t>-</w:t>
      </w:r>
      <w:r w:rsidRPr="003B0279">
        <w:t>informed assistance for survivors, wellbeing and recovery services for survivors, as well as preventative education and behaviour programs for perpetrators.</w:t>
      </w:r>
    </w:p>
    <w:p w14:paraId="44B0FF18" w14:textId="77777777" w:rsidR="003A10B9" w:rsidRDefault="003A10B9" w:rsidP="00602FE5">
      <w:pPr>
        <w:pStyle w:val="Bullet"/>
      </w:pPr>
      <w:r>
        <w:t>Continued support for the DFSV Crisis Accommodation Program and Perpetrator Program.</w:t>
      </w:r>
    </w:p>
    <w:p w14:paraId="03EAD76F" w14:textId="77777777" w:rsidR="005F3B67" w:rsidRDefault="09D69DF9" w:rsidP="00602FE5">
      <w:pPr>
        <w:pStyle w:val="Bullet"/>
      </w:pPr>
      <w:r>
        <w:t xml:space="preserve">In addition to the </w:t>
      </w:r>
      <w:r w:rsidR="003A10B9">
        <w:t>$3 million allocated to conducting the Royal Commission</w:t>
      </w:r>
      <w:r w:rsidR="15B3025C">
        <w:t>,</w:t>
      </w:r>
      <w:r w:rsidR="003A10B9">
        <w:t xml:space="preserve"> a further $1.5 million over two years for a central response unit to address and coordinate information requests and across government effort associated with the Royal Commission.</w:t>
      </w:r>
    </w:p>
    <w:p w14:paraId="4D7DD547" w14:textId="6D02FA5B" w:rsidR="003A10B9" w:rsidRPr="00220D7F" w:rsidRDefault="0062175E" w:rsidP="009100A8">
      <w:pPr>
        <w:pStyle w:val="Heading4"/>
        <w:pBdr>
          <w:top w:val="single" w:sz="36" w:space="6" w:color="B58DD3"/>
          <w:left w:val="single" w:sz="36" w:space="6" w:color="B58DD3"/>
          <w:bottom w:val="single" w:sz="36" w:space="6" w:color="B58DD3"/>
          <w:right w:val="single" w:sz="36" w:space="6" w:color="B58DD3"/>
        </w:pBdr>
      </w:pPr>
      <w:r>
        <w:t>Quick Statistic</w:t>
      </w:r>
      <w:r w:rsidR="003A10B9" w:rsidRPr="00220D7F">
        <w:t>: Domestic and family violence</w:t>
      </w:r>
    </w:p>
    <w:p w14:paraId="4B27DF9E" w14:textId="33D68A58" w:rsidR="005F3B67" w:rsidRDefault="003A10B9" w:rsidP="009100A8">
      <w:pPr>
        <w:pBdr>
          <w:top w:val="single" w:sz="36" w:space="6" w:color="B58DD3"/>
          <w:left w:val="single" w:sz="36" w:space="6" w:color="B58DD3"/>
          <w:bottom w:val="single" w:sz="36" w:space="6" w:color="B58DD3"/>
          <w:right w:val="single" w:sz="36" w:space="6" w:color="B58DD3"/>
        </w:pBdr>
      </w:pPr>
      <w:r>
        <w:t xml:space="preserve">In </w:t>
      </w:r>
      <w:r w:rsidR="0062175E">
        <w:t>South Australia</w:t>
      </w:r>
      <w:r>
        <w:t>, 40% of homicides are domestic and family violence related.</w:t>
      </w:r>
      <w:r w:rsidRPr="0062175E">
        <w:rPr>
          <w:vertAlign w:val="superscript"/>
        </w:rPr>
        <w:t>(2)</w:t>
      </w:r>
    </w:p>
    <w:p w14:paraId="0824BFBC" w14:textId="44214383" w:rsidR="003A10B9" w:rsidRPr="006A52AD" w:rsidRDefault="003A10B9" w:rsidP="005C1881">
      <w:pPr>
        <w:pStyle w:val="Heading3"/>
      </w:pPr>
      <w:bookmarkStart w:id="16" w:name="_Toc171501565"/>
      <w:r w:rsidRPr="006A52AD">
        <w:t>Impact for women and girls</w:t>
      </w:r>
      <w:bookmarkEnd w:id="16"/>
    </w:p>
    <w:p w14:paraId="08A9FAB1" w14:textId="77777777" w:rsidR="0062175E" w:rsidRDefault="003A10B9" w:rsidP="00602FE5">
      <w:r>
        <w:t>In November 2023, four South Australian women were allegedly murdered by men known to them in the span of a week.</w:t>
      </w:r>
      <w:r w:rsidRPr="0062175E">
        <w:rPr>
          <w:vertAlign w:val="superscript"/>
        </w:rPr>
        <w:t>(3)</w:t>
      </w:r>
    </w:p>
    <w:p w14:paraId="3C5A7044" w14:textId="77777777" w:rsidR="0062175E" w:rsidRDefault="003A10B9" w:rsidP="00602FE5">
      <w:r>
        <w:t>39% of women aged over 15 in South Australia have experienced physical and/or sexual violence.</w:t>
      </w:r>
      <w:r w:rsidRPr="0062175E">
        <w:rPr>
          <w:vertAlign w:val="superscript"/>
        </w:rPr>
        <w:t>(4)</w:t>
      </w:r>
    </w:p>
    <w:p w14:paraId="48192B41" w14:textId="77777777" w:rsidR="0062175E" w:rsidRDefault="003A10B9" w:rsidP="00602FE5">
      <w:r>
        <w:t>A majority of Australians do not think violence against women occurs in all communities.</w:t>
      </w:r>
      <w:r w:rsidRPr="0062175E">
        <w:rPr>
          <w:vertAlign w:val="superscript"/>
        </w:rPr>
        <w:t>(5)</w:t>
      </w:r>
    </w:p>
    <w:p w14:paraId="04DC3E35" w14:textId="14A2E433" w:rsidR="003A10B9" w:rsidRDefault="003A10B9" w:rsidP="00602FE5">
      <w:r>
        <w:t>Poor understanding and problematic attitudes regarding violence against women reflect a culture that allows violence to perpetuate. While South Australian community attitudes are improving, continued effort to shift attitudes and behaviours must be central to the solutions.</w:t>
      </w:r>
    </w:p>
    <w:p w14:paraId="104B1F7E" w14:textId="77777777" w:rsidR="003A10B9" w:rsidRDefault="003A10B9" w:rsidP="00602FE5">
      <w:r>
        <w:t>First Nations women report three times as many incidents of sexual violence than other women and are 34 times more likely to be hospitalised because of violence than other women.</w:t>
      </w:r>
      <w:r w:rsidRPr="0062175E">
        <w:rPr>
          <w:vertAlign w:val="superscript"/>
        </w:rPr>
        <w:t>(6)</w:t>
      </w:r>
    </w:p>
    <w:p w14:paraId="2D03ED01" w14:textId="77777777" w:rsidR="003A10B9" w:rsidRDefault="003A10B9" w:rsidP="00602FE5">
      <w:r>
        <w:lastRenderedPageBreak/>
        <w:t>One in three women from migrant and refugee backgrounds have experienced some form of domestic and family violence.</w:t>
      </w:r>
      <w:r w:rsidRPr="0062175E">
        <w:rPr>
          <w:vertAlign w:val="superscript"/>
        </w:rPr>
        <w:t>(6)</w:t>
      </w:r>
      <w:r>
        <w:t xml:space="preserve"> It is vital that critical DFSV services continue to provide women with culturally safe support.</w:t>
      </w:r>
    </w:p>
    <w:p w14:paraId="05C1C7F9" w14:textId="77777777" w:rsidR="005F3B67" w:rsidRDefault="003A10B9" w:rsidP="00602FE5">
      <w:r>
        <w:t>Action on and support for efforts relating to the Royal Commission will help to deliver better safety and security outcomes for women and girls across the domains of prevention, early intervention, response, and recovery and healing and help determine how these efforts can be better integrated and coordinated.</w:t>
      </w:r>
    </w:p>
    <w:p w14:paraId="06853D05" w14:textId="4D075F85" w:rsidR="003A10B9" w:rsidRDefault="0062175E" w:rsidP="009100A8">
      <w:pPr>
        <w:pStyle w:val="Heading4"/>
        <w:pBdr>
          <w:top w:val="single" w:sz="36" w:space="6" w:color="B58DD3"/>
          <w:left w:val="single" w:sz="36" w:space="6" w:color="B58DD3"/>
          <w:bottom w:val="single" w:sz="36" w:space="6" w:color="B58DD3"/>
          <w:right w:val="single" w:sz="36" w:space="6" w:color="B58DD3"/>
        </w:pBdr>
      </w:pPr>
      <w:r>
        <w:t>Quick Statistic</w:t>
      </w:r>
      <w:r w:rsidR="003A10B9">
        <w:t>: Physical or sexual violence</w:t>
      </w:r>
    </w:p>
    <w:p w14:paraId="4082A43C" w14:textId="4C4ED400" w:rsidR="003A10B9" w:rsidRDefault="003A10B9" w:rsidP="009100A8">
      <w:pPr>
        <w:pBdr>
          <w:top w:val="single" w:sz="36" w:space="6" w:color="B58DD3"/>
          <w:left w:val="single" w:sz="36" w:space="6" w:color="B58DD3"/>
          <w:bottom w:val="single" w:sz="36" w:space="6" w:color="B58DD3"/>
          <w:right w:val="single" w:sz="36" w:space="6" w:color="B58DD3"/>
        </w:pBdr>
      </w:pPr>
      <w:r>
        <w:t>39% (</w:t>
      </w:r>
      <w:r w:rsidR="0062175E">
        <w:t xml:space="preserve">that is, </w:t>
      </w:r>
      <w:r>
        <w:t xml:space="preserve">279,300) of </w:t>
      </w:r>
      <w:r w:rsidR="0062175E">
        <w:t>South Australia</w:t>
      </w:r>
      <w:r>
        <w:t xml:space="preserve"> women over the age of 15 have experienced physical and/or sexual violence.</w:t>
      </w:r>
      <w:r w:rsidRPr="00D060E6">
        <w:rPr>
          <w:vertAlign w:val="superscript"/>
        </w:rPr>
        <w:t>(7)</w:t>
      </w:r>
      <w:r>
        <w:t xml:space="preserve"> </w:t>
      </w:r>
      <w:r>
        <w:br w:type="page"/>
      </w:r>
    </w:p>
    <w:p w14:paraId="794689BB" w14:textId="77777777" w:rsidR="005F3B67" w:rsidRDefault="003A10B9" w:rsidP="005C1881">
      <w:pPr>
        <w:pStyle w:val="Heading2"/>
      </w:pPr>
      <w:bookmarkStart w:id="17" w:name="_Toc171501566"/>
      <w:bookmarkStart w:id="18" w:name="_Toc171511271"/>
      <w:r>
        <w:lastRenderedPageBreak/>
        <w:t>Housing and Homelessness</w:t>
      </w:r>
      <w:bookmarkEnd w:id="17"/>
      <w:bookmarkEnd w:id="18"/>
    </w:p>
    <w:p w14:paraId="563F16A2" w14:textId="1BFDF902" w:rsidR="003A10B9" w:rsidRDefault="003A10B9" w:rsidP="005C1881">
      <w:pPr>
        <w:pStyle w:val="Heading3"/>
      </w:pPr>
      <w:bookmarkStart w:id="19" w:name="_Toc171501567"/>
      <w:r>
        <w:t>Why is this important for women and girls?</w:t>
      </w:r>
      <w:bookmarkEnd w:id="19"/>
      <w:r>
        <w:t xml:space="preserve"> </w:t>
      </w:r>
    </w:p>
    <w:p w14:paraId="4D5421E9" w14:textId="77777777" w:rsidR="003A10B9" w:rsidRDefault="003A10B9" w:rsidP="00602FE5">
      <w:r>
        <w:t>Housing insecurity is experienced by a disproportionate number of women (particularly women with children). This is due in part to the gender pay gap which contributes to women being:</w:t>
      </w:r>
    </w:p>
    <w:p w14:paraId="2FA5D86A" w14:textId="77777777" w:rsidR="003A10B9" w:rsidRDefault="003A10B9" w:rsidP="00602FE5">
      <w:pPr>
        <w:pStyle w:val="Bullet"/>
      </w:pPr>
      <w:r>
        <w:t>less likely to be able to afford housing costs to rent appropriate housing for their families</w:t>
      </w:r>
    </w:p>
    <w:p w14:paraId="086C1C26" w14:textId="77777777" w:rsidR="003A10B9" w:rsidRDefault="003A10B9" w:rsidP="00602FE5">
      <w:pPr>
        <w:pStyle w:val="Bullet"/>
      </w:pPr>
      <w:r>
        <w:t>less likely to be able to save for a deposit on a home, and less likely to own a home in retirement.</w:t>
      </w:r>
      <w:r w:rsidRPr="00D060E6">
        <w:rPr>
          <w:vertAlign w:val="superscript"/>
        </w:rPr>
        <w:t>(8)</w:t>
      </w:r>
    </w:p>
    <w:p w14:paraId="44C04EBC" w14:textId="0EAE2B02" w:rsidR="005F3B67" w:rsidRDefault="003A10B9" w:rsidP="00602FE5">
      <w:r>
        <w:t xml:space="preserve">Domestic and family violence is the leading driver of homelessness for women, with more than 38% of women who accessed homelessness services in 2022–23 experiencing </w:t>
      </w:r>
      <w:r w:rsidR="00DF254F">
        <w:t>Domestic, Family and Sexual Violence (DFSV)</w:t>
      </w:r>
      <w:r>
        <w:t>.</w:t>
      </w:r>
      <w:r w:rsidRPr="00D060E6">
        <w:rPr>
          <w:vertAlign w:val="superscript"/>
        </w:rPr>
        <w:t>(9)</w:t>
      </w:r>
      <w:r>
        <w:t xml:space="preserve"> Additionally, older women are the fastest growing group of people who are homeless or at risk of homelessness, increasing by 31% between 2011 and 2016.</w:t>
      </w:r>
      <w:r w:rsidRPr="00556A27">
        <w:rPr>
          <w:vertAlign w:val="superscript"/>
        </w:rPr>
        <w:t>(10)</w:t>
      </w:r>
    </w:p>
    <w:p w14:paraId="314197D9" w14:textId="4FA9EB9A" w:rsidR="003A10B9" w:rsidRDefault="003A10B9" w:rsidP="005C1881">
      <w:pPr>
        <w:pStyle w:val="Heading3"/>
      </w:pPr>
      <w:bookmarkStart w:id="20" w:name="_Toc171501568"/>
      <w:r>
        <w:t>Contributing 2024–2025 budget measures</w:t>
      </w:r>
      <w:bookmarkEnd w:id="20"/>
      <w:r>
        <w:t xml:space="preserve"> </w:t>
      </w:r>
    </w:p>
    <w:p w14:paraId="3C6B1E3F" w14:textId="77777777" w:rsidR="003A10B9" w:rsidRDefault="003A10B9" w:rsidP="00602FE5">
      <w:pPr>
        <w:pStyle w:val="Bullet"/>
      </w:pPr>
      <w:r>
        <w:t>$576 million from 2023–24 to 2034–35 to redevelop SA Housing Trust land at Seaton estimated to deliver 1,315 dwellings, including 388 social and 197 affordable homes, and to redevelop government owned land at Noarlunga Downs estimated to deliver 626 dwellings including 80 social and 90 affordable homes.</w:t>
      </w:r>
    </w:p>
    <w:p w14:paraId="74743C7D" w14:textId="77777777" w:rsidR="003A10B9" w:rsidRDefault="003A10B9" w:rsidP="00602FE5">
      <w:pPr>
        <w:pStyle w:val="Bullet"/>
      </w:pPr>
      <w:r>
        <w:t>$135.8 million over five years to build and upgrade around 442 social housing dwellings by 30 June 2028 funded from the Commonwealth Government’s Social Housing Accelerator Payment.</w:t>
      </w:r>
    </w:p>
    <w:p w14:paraId="2A416CF1" w14:textId="77777777" w:rsidR="003A10B9" w:rsidRDefault="003A10B9" w:rsidP="00602FE5">
      <w:pPr>
        <w:pStyle w:val="Bullet"/>
      </w:pPr>
      <w:r>
        <w:t>$65.9 million in 2025–26 to assist SA Housing Trust to meet public housing build commitments announced as part of A Better Housing Future.</w:t>
      </w:r>
    </w:p>
    <w:p w14:paraId="2AFD11D3" w14:textId="77777777" w:rsidR="003A10B9" w:rsidRDefault="003A10B9" w:rsidP="00602FE5">
      <w:pPr>
        <w:pStyle w:val="Bullet"/>
      </w:pPr>
      <w:r>
        <w:t>Continued support for:</w:t>
      </w:r>
    </w:p>
    <w:p w14:paraId="49A18EF0" w14:textId="77777777" w:rsidR="003A10B9" w:rsidRPr="00E71F19" w:rsidRDefault="003A10B9" w:rsidP="00602FE5">
      <w:pPr>
        <w:pStyle w:val="Bullet-Indent"/>
      </w:pPr>
      <w:r>
        <w:t>Natio</w:t>
      </w:r>
      <w:r w:rsidRPr="00E71F19">
        <w:t>nal Homelessness Agreement support for women facing homelessness because of DFSV.</w:t>
      </w:r>
    </w:p>
    <w:p w14:paraId="55F56B5F" w14:textId="77777777" w:rsidR="003A10B9" w:rsidRDefault="003A10B9" w:rsidP="00602FE5">
      <w:pPr>
        <w:pStyle w:val="Bullet-Indent"/>
      </w:pPr>
      <w:r w:rsidRPr="00E71F19">
        <w:t xml:space="preserve">DFSV Crisis </w:t>
      </w:r>
      <w:r>
        <w:t>Accommodation Program.</w:t>
      </w:r>
    </w:p>
    <w:p w14:paraId="71614DC7" w14:textId="77777777" w:rsidR="005F3B67" w:rsidRDefault="003A10B9" w:rsidP="00602FE5">
      <w:pPr>
        <w:pStyle w:val="Bullet"/>
      </w:pPr>
      <w:r>
        <w:t>$30 million additional first homeowner relief including $14 million over four years to remove the property value stamp duty thresholds for eligible first home buyers.</w:t>
      </w:r>
    </w:p>
    <w:p w14:paraId="3A84E27F" w14:textId="78C67AC8" w:rsidR="003A10B9" w:rsidRDefault="003A10B9" w:rsidP="005C1881">
      <w:pPr>
        <w:pStyle w:val="Heading3"/>
      </w:pPr>
      <w:bookmarkStart w:id="21" w:name="_Toc171501569"/>
      <w:r>
        <w:t>Impact for women and girls</w:t>
      </w:r>
      <w:bookmarkEnd w:id="21"/>
    </w:p>
    <w:p w14:paraId="5E2862CC" w14:textId="221FECEA" w:rsidR="003A10B9" w:rsidRDefault="003A10B9" w:rsidP="00602FE5">
      <w:r>
        <w:t>Building more social and affordable homes will contribute to increased housing outcomes for women.</w:t>
      </w:r>
      <w:r w:rsidR="43A0C080">
        <w:t xml:space="preserve"> </w:t>
      </w:r>
      <w:r>
        <w:t xml:space="preserve">Specific support for women facing homelessness because of </w:t>
      </w:r>
      <w:r w:rsidR="00CC5F47">
        <w:t>Domestic, Family and Sexual Violence (</w:t>
      </w:r>
      <w:r>
        <w:t>DFSV</w:t>
      </w:r>
      <w:r w:rsidR="00CC5F47">
        <w:t>)</w:t>
      </w:r>
      <w:r>
        <w:t xml:space="preserve"> will further target support where it is needed most.</w:t>
      </w:r>
    </w:p>
    <w:p w14:paraId="4E6324AB" w14:textId="77777777" w:rsidR="003A10B9" w:rsidRDefault="003A10B9" w:rsidP="00602FE5">
      <w:r>
        <w:t>Providing relief to first homeowners will support women’s economic wellbeing by reducing the financial burden faced by women due to the gender pay gap.</w:t>
      </w:r>
    </w:p>
    <w:p w14:paraId="4C8297ED" w14:textId="3B57DF5C" w:rsidR="003A10B9" w:rsidRDefault="00CD2443" w:rsidP="009100A8">
      <w:pPr>
        <w:pStyle w:val="Heading4"/>
        <w:pBdr>
          <w:top w:val="single" w:sz="36" w:space="6" w:color="B58DD3"/>
          <w:left w:val="single" w:sz="36" w:space="6" w:color="B58DD3"/>
          <w:bottom w:val="single" w:sz="36" w:space="6" w:color="B58DD3"/>
          <w:right w:val="single" w:sz="36" w:space="6" w:color="B58DD3"/>
        </w:pBdr>
      </w:pPr>
      <w:r>
        <w:lastRenderedPageBreak/>
        <w:t>Quick Statistic</w:t>
      </w:r>
      <w:r w:rsidR="003A10B9">
        <w:t>: Accessed homelessness services</w:t>
      </w:r>
    </w:p>
    <w:p w14:paraId="4887E51A" w14:textId="06D36215" w:rsidR="005F3B67" w:rsidRDefault="003A10B9" w:rsidP="009100A8">
      <w:pPr>
        <w:pBdr>
          <w:top w:val="single" w:sz="36" w:space="6" w:color="B58DD3"/>
          <w:left w:val="single" w:sz="36" w:space="6" w:color="B58DD3"/>
          <w:bottom w:val="single" w:sz="36" w:space="6" w:color="B58DD3"/>
          <w:right w:val="single" w:sz="36" w:space="6" w:color="B58DD3"/>
        </w:pBdr>
      </w:pPr>
      <w:r>
        <w:t>38%</w:t>
      </w:r>
      <w:r w:rsidRPr="00F2181C">
        <w:t xml:space="preserve"> </w:t>
      </w:r>
      <w:r>
        <w:t>of the 273,600 clients who accessed homelessness services in 2022–23, 38% (</w:t>
      </w:r>
      <w:r w:rsidR="00CD2443">
        <w:t xml:space="preserve">that is, </w:t>
      </w:r>
      <w:r>
        <w:t>104,000) were people experiencing DFSV.</w:t>
      </w:r>
      <w:r w:rsidRPr="00CD2443">
        <w:rPr>
          <w:vertAlign w:val="superscript"/>
        </w:rPr>
        <w:t>(11)</w:t>
      </w:r>
    </w:p>
    <w:p w14:paraId="1409DC60" w14:textId="5F338941" w:rsidR="003A10B9" w:rsidRDefault="00071B08" w:rsidP="009100A8">
      <w:pPr>
        <w:pStyle w:val="Heading4"/>
        <w:pBdr>
          <w:top w:val="single" w:sz="36" w:space="6" w:color="B58DD3"/>
          <w:left w:val="single" w:sz="36" w:space="6" w:color="B58DD3"/>
          <w:bottom w:val="single" w:sz="36" w:space="6" w:color="B58DD3"/>
          <w:right w:val="single" w:sz="36" w:space="6" w:color="B58DD3"/>
        </w:pBdr>
      </w:pPr>
      <w:r>
        <w:t>Quick St</w:t>
      </w:r>
      <w:r w:rsidR="00CD2443">
        <w:t>atistic</w:t>
      </w:r>
      <w:r w:rsidR="003A10B9">
        <w:t>: Increased risk of homelessness</w:t>
      </w:r>
    </w:p>
    <w:p w14:paraId="5958129C" w14:textId="77777777" w:rsidR="003A10B9" w:rsidRDefault="003A10B9" w:rsidP="009100A8">
      <w:pPr>
        <w:pBdr>
          <w:top w:val="single" w:sz="36" w:space="6" w:color="B58DD3"/>
          <w:left w:val="single" w:sz="36" w:space="6" w:color="B58DD3"/>
          <w:bottom w:val="single" w:sz="36" w:space="6" w:color="B58DD3"/>
          <w:right w:val="single" w:sz="36" w:space="6" w:color="B58DD3"/>
        </w:pBdr>
      </w:pPr>
      <w:r>
        <w:t>Older women are the fastest growing group of people who are homeless or at risk of homelessness, increasing 31% between 2011 and 2016.</w:t>
      </w:r>
      <w:r w:rsidRPr="00CD2443">
        <w:rPr>
          <w:vertAlign w:val="superscript"/>
        </w:rPr>
        <w:t>(12)</w:t>
      </w:r>
      <w:r>
        <w:t xml:space="preserve"> </w:t>
      </w:r>
      <w:r>
        <w:br w:type="page"/>
      </w:r>
    </w:p>
    <w:p w14:paraId="6A074A2E" w14:textId="77777777" w:rsidR="005F3B67" w:rsidRDefault="003A10B9" w:rsidP="005C1881">
      <w:pPr>
        <w:pStyle w:val="Heading2"/>
      </w:pPr>
      <w:bookmarkStart w:id="22" w:name="_Toc171501570"/>
      <w:bookmarkStart w:id="23" w:name="_Toc171511272"/>
      <w:r>
        <w:lastRenderedPageBreak/>
        <w:t>Cost of Living</w:t>
      </w:r>
      <w:bookmarkEnd w:id="22"/>
      <w:bookmarkEnd w:id="23"/>
    </w:p>
    <w:p w14:paraId="4A99935C" w14:textId="59F0129F" w:rsidR="003A10B9" w:rsidRDefault="003A10B9" w:rsidP="005C1881">
      <w:pPr>
        <w:pStyle w:val="Heading3"/>
      </w:pPr>
      <w:bookmarkStart w:id="24" w:name="_Toc171501571"/>
      <w:r>
        <w:t>Why is this important for women and girls?</w:t>
      </w:r>
      <w:bookmarkEnd w:id="24"/>
      <w:r>
        <w:t xml:space="preserve"> </w:t>
      </w:r>
    </w:p>
    <w:p w14:paraId="00B6FF53" w14:textId="77777777" w:rsidR="003A10B9" w:rsidRDefault="003A10B9" w:rsidP="00602FE5">
      <w:r>
        <w:t>Addressing the cost of living is critical to women’s economic security and wellbeing.</w:t>
      </w:r>
    </w:p>
    <w:p w14:paraId="66AEA3AD" w14:textId="77777777" w:rsidR="00200A8A" w:rsidRDefault="003A10B9" w:rsidP="00602FE5">
      <w:r>
        <w:t>In Australia, women earn 12% less than men,</w:t>
      </w:r>
      <w:r w:rsidRPr="00F04E9D">
        <w:rPr>
          <w:vertAlign w:val="superscript"/>
        </w:rPr>
        <w:t>(13)</w:t>
      </w:r>
      <w:r>
        <w:t xml:space="preserve"> and make up more than 80% of single parent families, which are at higher risk of income disadvantage.</w:t>
      </w:r>
      <w:r w:rsidRPr="00F04E9D">
        <w:rPr>
          <w:vertAlign w:val="superscript"/>
        </w:rPr>
        <w:t>(14)</w:t>
      </w:r>
    </w:p>
    <w:p w14:paraId="4D991E55" w14:textId="77777777" w:rsidR="002D4BBB" w:rsidRDefault="003A10B9" w:rsidP="00602FE5">
      <w:r>
        <w:t>This means that women are more likely to experience the financial pressures of increases to the cost of essential goods and services including utilities, childcare and food.</w:t>
      </w:r>
    </w:p>
    <w:p w14:paraId="48074A23" w14:textId="25BC8DD0" w:rsidR="005F3B67" w:rsidRDefault="003A10B9" w:rsidP="00602FE5">
      <w:r>
        <w:t>This makes it difficult for women to save money, which has a compounding effect on their future economic security with a woman currently retiring with $62,000 less superannuation than a man on average.</w:t>
      </w:r>
      <w:r w:rsidRPr="001115AD">
        <w:rPr>
          <w:vertAlign w:val="superscript"/>
        </w:rPr>
        <w:t>(15)</w:t>
      </w:r>
    </w:p>
    <w:p w14:paraId="117814CF" w14:textId="74DFC7F7" w:rsidR="003A10B9" w:rsidRDefault="003A10B9" w:rsidP="005C1881">
      <w:pPr>
        <w:pStyle w:val="Heading3"/>
      </w:pPr>
      <w:bookmarkStart w:id="25" w:name="_Toc171501572"/>
      <w:r>
        <w:t>Contributing 2024–2025 budget measures</w:t>
      </w:r>
      <w:bookmarkEnd w:id="25"/>
      <w:r>
        <w:t xml:space="preserve"> </w:t>
      </w:r>
    </w:p>
    <w:p w14:paraId="46C30CAC" w14:textId="2599FAAA" w:rsidR="003A10B9" w:rsidRDefault="003A10B9" w:rsidP="00602FE5">
      <w:pPr>
        <w:pStyle w:val="Bullet"/>
      </w:pPr>
      <w:r>
        <w:t>$24 million in 20</w:t>
      </w:r>
      <w:r w:rsidR="001202C1">
        <w:t>24–25</w:t>
      </w:r>
      <w:r>
        <w:t xml:space="preserve"> to deliver a $200 reduction to government school parents, caregivers and independent students for the materials and services charge for the 2025 school year. This initiative expands and extends this support for a further year and will support up to 120,000 school children.</w:t>
      </w:r>
    </w:p>
    <w:p w14:paraId="3744F953" w14:textId="2AEB4FB1" w:rsidR="003A10B9" w:rsidRDefault="003A10B9" w:rsidP="00602FE5">
      <w:pPr>
        <w:pStyle w:val="Bullet"/>
      </w:pPr>
      <w:r>
        <w:t>$51.5 million in 2023–24 to provide a once</w:t>
      </w:r>
      <w:r w:rsidR="001202C1">
        <w:t>-</w:t>
      </w:r>
      <w:r>
        <w:t>off additional Cost of Living Concession (COLC) payment of $243.90 to all recipients who received the COLC payment</w:t>
      </w:r>
      <w:r w:rsidR="0B76B40C">
        <w:t xml:space="preserve"> </w:t>
      </w:r>
      <w:r>
        <w:t>in 2023–24. Paid in June 2024, it provides immediate and targeted support to more than 210,000 households at the onset of winter when energy bills are likely</w:t>
      </w:r>
      <w:r w:rsidRPr="00DD6F24">
        <w:t xml:space="preserve"> to increase.</w:t>
      </w:r>
    </w:p>
    <w:p w14:paraId="48EFAE15" w14:textId="67A22103" w:rsidR="003A10B9" w:rsidRDefault="003A10B9" w:rsidP="00602FE5">
      <w:pPr>
        <w:pStyle w:val="Bullet"/>
      </w:pPr>
      <w:r>
        <w:t>$36.</w:t>
      </w:r>
      <w:r w:rsidR="7D746D18">
        <w:t>6</w:t>
      </w:r>
      <w:r>
        <w:t xml:space="preserve"> million over four years to double the COLC from 2024–25 from $127.80 to $255.60 for tenants and Commonwealth Seniors Card holders by aligning to that of homeowners, supporting around 73,000 people. </w:t>
      </w:r>
    </w:p>
    <w:p w14:paraId="6970B47C" w14:textId="77777777" w:rsidR="005F3B67" w:rsidRDefault="003A10B9" w:rsidP="00602FE5">
      <w:pPr>
        <w:pStyle w:val="Bullet"/>
      </w:pPr>
      <w:r>
        <w:t>$10.6 million over four years to extend public transport concessions to all Health Care Card holders, benefitting around 15,000 people. This will save up to $2.25 per trip when using a MetroCard.</w:t>
      </w:r>
    </w:p>
    <w:p w14:paraId="46891A6F" w14:textId="7991CCF4" w:rsidR="003A10B9" w:rsidRDefault="003A10B9" w:rsidP="005C1881">
      <w:pPr>
        <w:pStyle w:val="Heading3"/>
      </w:pPr>
      <w:r>
        <w:t>Impact for women and girls</w:t>
      </w:r>
    </w:p>
    <w:p w14:paraId="316CA60B" w14:textId="070A3FD7" w:rsidR="002D4BBB" w:rsidRDefault="003A10B9" w:rsidP="00602FE5">
      <w:r>
        <w:t>Targeted, increased support for cost of living concessions, including those for school parents, caregivers and independent students will reduce the impact of income inequality on women.</w:t>
      </w:r>
    </w:p>
    <w:p w14:paraId="2F3FC6CA" w14:textId="77777777" w:rsidR="002D4BBB" w:rsidRDefault="002D4BBB" w:rsidP="00602FE5">
      <w:r>
        <w:br w:type="page"/>
      </w:r>
    </w:p>
    <w:p w14:paraId="25D09E30" w14:textId="7FDAB1B4" w:rsidR="003A10B9" w:rsidRDefault="00C731CD" w:rsidP="009100A8">
      <w:pPr>
        <w:pStyle w:val="Heading4"/>
        <w:pBdr>
          <w:top w:val="single" w:sz="36" w:space="6" w:color="B58DD3"/>
          <w:left w:val="single" w:sz="36" w:space="6" w:color="B58DD3"/>
          <w:bottom w:val="single" w:sz="36" w:space="6" w:color="B58DD3"/>
          <w:right w:val="single" w:sz="36" w:space="6" w:color="B58DD3"/>
        </w:pBdr>
      </w:pPr>
      <w:r>
        <w:lastRenderedPageBreak/>
        <w:t>Quick Statistic</w:t>
      </w:r>
      <w:r w:rsidR="003A10B9">
        <w:t>: Single parent families</w:t>
      </w:r>
    </w:p>
    <w:p w14:paraId="2338FF76" w14:textId="77777777" w:rsidR="005F3B67" w:rsidRDefault="003A10B9" w:rsidP="009100A8">
      <w:pPr>
        <w:pBdr>
          <w:top w:val="single" w:sz="36" w:space="6" w:color="B58DD3"/>
          <w:left w:val="single" w:sz="36" w:space="6" w:color="B58DD3"/>
          <w:bottom w:val="single" w:sz="36" w:space="6" w:color="B58DD3"/>
          <w:right w:val="single" w:sz="36" w:space="6" w:color="B58DD3"/>
        </w:pBdr>
      </w:pPr>
      <w:r>
        <w:t>Women make up more than 80% of single parent families, which are at higher risk of income disadvantage.</w:t>
      </w:r>
      <w:r w:rsidRPr="00C731CD">
        <w:rPr>
          <w:vertAlign w:val="superscript"/>
        </w:rPr>
        <w:t>(16)</w:t>
      </w:r>
    </w:p>
    <w:p w14:paraId="5D99AD4A" w14:textId="37F073D8" w:rsidR="003A10B9" w:rsidRDefault="00C731CD" w:rsidP="009100A8">
      <w:pPr>
        <w:pStyle w:val="Heading4"/>
        <w:pBdr>
          <w:top w:val="single" w:sz="36" w:space="6" w:color="B58DD3"/>
          <w:left w:val="single" w:sz="36" w:space="6" w:color="B58DD3"/>
          <w:bottom w:val="single" w:sz="36" w:space="6" w:color="B58DD3"/>
          <w:right w:val="single" w:sz="36" w:space="6" w:color="B58DD3"/>
        </w:pBdr>
      </w:pPr>
      <w:r>
        <w:t>Quick Statistic</w:t>
      </w:r>
      <w:r w:rsidR="003A10B9">
        <w:t>: Preparedness for retirement</w:t>
      </w:r>
    </w:p>
    <w:p w14:paraId="45D294C8" w14:textId="77777777" w:rsidR="005F3B67" w:rsidRDefault="003A10B9" w:rsidP="009100A8">
      <w:pPr>
        <w:pBdr>
          <w:top w:val="single" w:sz="36" w:space="6" w:color="B58DD3"/>
          <w:left w:val="single" w:sz="36" w:space="6" w:color="B58DD3"/>
          <w:bottom w:val="single" w:sz="36" w:space="6" w:color="B58DD3"/>
          <w:right w:val="single" w:sz="36" w:space="6" w:color="B58DD3"/>
        </w:pBdr>
      </w:pPr>
      <w:r>
        <w:t>35% of women have no money prepared for retirement.</w:t>
      </w:r>
      <w:r w:rsidRPr="00C731CD">
        <w:rPr>
          <w:vertAlign w:val="superscript"/>
        </w:rPr>
        <w:t>(17)</w:t>
      </w:r>
    </w:p>
    <w:p w14:paraId="63487ED0" w14:textId="31E360CF" w:rsidR="003A10B9" w:rsidRDefault="00C731CD" w:rsidP="009100A8">
      <w:pPr>
        <w:pStyle w:val="Heading4"/>
        <w:pBdr>
          <w:top w:val="single" w:sz="36" w:space="6" w:color="B58DD3"/>
          <w:left w:val="single" w:sz="36" w:space="6" w:color="B58DD3"/>
          <w:bottom w:val="single" w:sz="36" w:space="6" w:color="B58DD3"/>
          <w:right w:val="single" w:sz="36" w:space="6" w:color="B58DD3"/>
        </w:pBdr>
      </w:pPr>
      <w:r>
        <w:t>Quick Statistic</w:t>
      </w:r>
      <w:r w:rsidR="003A10B9">
        <w:t>: Superannuation</w:t>
      </w:r>
    </w:p>
    <w:p w14:paraId="6F35DB0F" w14:textId="77777777" w:rsidR="003A10B9" w:rsidRDefault="003A10B9" w:rsidP="009100A8">
      <w:pPr>
        <w:pBdr>
          <w:top w:val="single" w:sz="36" w:space="6" w:color="B58DD3"/>
          <w:left w:val="single" w:sz="36" w:space="6" w:color="B58DD3"/>
          <w:bottom w:val="single" w:sz="36" w:space="6" w:color="B58DD3"/>
          <w:right w:val="single" w:sz="36" w:space="6" w:color="B58DD3"/>
        </w:pBdr>
      </w:pPr>
      <w:r>
        <w:t>1 in 3 women have no superannuation including 60% of women aged 65 to 69.3.</w:t>
      </w:r>
      <w:r w:rsidRPr="00C731CD">
        <w:rPr>
          <w:vertAlign w:val="superscript"/>
        </w:rPr>
        <w:t>(18)</w:t>
      </w:r>
      <w:r>
        <w:t xml:space="preserve"> </w:t>
      </w:r>
      <w:r>
        <w:br w:type="page"/>
      </w:r>
    </w:p>
    <w:p w14:paraId="1AECB83D" w14:textId="77777777" w:rsidR="005F3B67" w:rsidRDefault="003A10B9" w:rsidP="005C1881">
      <w:pPr>
        <w:pStyle w:val="Heading2"/>
      </w:pPr>
      <w:bookmarkStart w:id="26" w:name="_Toc171501573"/>
      <w:bookmarkStart w:id="27" w:name="_Toc171511273"/>
      <w:r>
        <w:lastRenderedPageBreak/>
        <w:t>Early Childhood Services and Support</w:t>
      </w:r>
      <w:bookmarkEnd w:id="26"/>
      <w:bookmarkEnd w:id="27"/>
    </w:p>
    <w:p w14:paraId="345806DD" w14:textId="329861CD" w:rsidR="003A10B9" w:rsidRDefault="003A10B9" w:rsidP="005C1881">
      <w:pPr>
        <w:pStyle w:val="Heading3"/>
      </w:pPr>
      <w:bookmarkStart w:id="28" w:name="_Toc171501574"/>
      <w:r>
        <w:t>Why is this important for women and girls?</w:t>
      </w:r>
      <w:bookmarkEnd w:id="28"/>
      <w:r>
        <w:t xml:space="preserve"> </w:t>
      </w:r>
    </w:p>
    <w:p w14:paraId="7FDACD14" w14:textId="77777777" w:rsidR="00D97A0D" w:rsidRDefault="003A10B9" w:rsidP="00602FE5">
      <w:r>
        <w:t>A lack of access to quality early childhood care is a barrier to women’s economic participation.</w:t>
      </w:r>
    </w:p>
    <w:p w14:paraId="300C1B30" w14:textId="42102150" w:rsidR="003A10B9" w:rsidRDefault="003A10B9" w:rsidP="00602FE5">
      <w:r>
        <w:t>Women continue to spend more time than men on unpaid care work, which limits participation in the paid labour force and has cumulative impacts on lifelong economic security. Access to long daycare and the costs of long daycare before children reach preschool age can have a disproportionate impact on women.</w:t>
      </w:r>
    </w:p>
    <w:p w14:paraId="7B7CFFC9" w14:textId="77777777" w:rsidR="005F3B67" w:rsidRDefault="003A10B9" w:rsidP="00602FE5">
      <w:r>
        <w:t>Historically, working with children has been an undervalued vocation. It is a largely female dominated workforce. Median pay rates for this work are below the economy</w:t>
      </w:r>
      <w:r w:rsidR="00151301">
        <w:t>-</w:t>
      </w:r>
      <w:r>
        <w:t>wide average, contributing to the gender pay gap.</w:t>
      </w:r>
    </w:p>
    <w:p w14:paraId="4F0D3C9F" w14:textId="4C809265" w:rsidR="003A10B9" w:rsidRDefault="003A10B9" w:rsidP="005C1881">
      <w:pPr>
        <w:pStyle w:val="Heading3"/>
      </w:pPr>
      <w:bookmarkStart w:id="29" w:name="_Toc171501575"/>
      <w:r>
        <w:t>Contributing 2024–2025 budget measures</w:t>
      </w:r>
      <w:bookmarkEnd w:id="29"/>
      <w:r>
        <w:t xml:space="preserve"> </w:t>
      </w:r>
    </w:p>
    <w:p w14:paraId="49DB7AF3" w14:textId="4AA2E21C" w:rsidR="003A10B9" w:rsidRDefault="003A10B9" w:rsidP="00602FE5">
      <w:pPr>
        <w:pStyle w:val="Bullet"/>
      </w:pPr>
      <w:r>
        <w:t>$339.7 million over five years for universal 3</w:t>
      </w:r>
      <w:r w:rsidR="00151301">
        <w:t>-</w:t>
      </w:r>
      <w:r>
        <w:t>year</w:t>
      </w:r>
      <w:r w:rsidR="00151301">
        <w:t>-</w:t>
      </w:r>
      <w:r>
        <w:t>old preschool in Government and non</w:t>
      </w:r>
      <w:r w:rsidR="00151301">
        <w:t>-</w:t>
      </w:r>
      <w:r>
        <w:t xml:space="preserve"> Government settings, including long day care settings.</w:t>
      </w:r>
    </w:p>
    <w:p w14:paraId="41CDD627" w14:textId="77777777" w:rsidR="005F3B67" w:rsidRDefault="003A10B9" w:rsidP="00602FE5">
      <w:pPr>
        <w:pStyle w:val="Bullet"/>
      </w:pPr>
      <w:r>
        <w:t>$96.6 million over four years, including a $56 million early childhood workforce development fund and support for quality teaching and learning in readiness for universal preschool delivery.</w:t>
      </w:r>
    </w:p>
    <w:p w14:paraId="6BC28F41" w14:textId="07B46025" w:rsidR="003A10B9" w:rsidRDefault="005316D1" w:rsidP="009100A8">
      <w:pPr>
        <w:pStyle w:val="Heading4"/>
        <w:pBdr>
          <w:top w:val="single" w:sz="36" w:space="6" w:color="B58DD3"/>
          <w:left w:val="single" w:sz="36" w:space="6" w:color="B58DD3"/>
          <w:bottom w:val="single" w:sz="36" w:space="6" w:color="B58DD3"/>
          <w:right w:val="single" w:sz="36" w:space="6" w:color="B58DD3"/>
        </w:pBdr>
      </w:pPr>
      <w:r>
        <w:t>Quick Statistic</w:t>
      </w:r>
      <w:r w:rsidR="003A10B9">
        <w:t>: Day care services</w:t>
      </w:r>
    </w:p>
    <w:p w14:paraId="02049CA8" w14:textId="1887689D" w:rsidR="005F3B67" w:rsidRDefault="005316D1" w:rsidP="009100A8">
      <w:pPr>
        <w:pBdr>
          <w:top w:val="single" w:sz="36" w:space="6" w:color="B58DD3"/>
          <w:left w:val="single" w:sz="36" w:space="6" w:color="B58DD3"/>
          <w:bottom w:val="single" w:sz="36" w:space="6" w:color="B58DD3"/>
          <w:right w:val="single" w:sz="36" w:space="6" w:color="B58DD3"/>
        </w:pBdr>
      </w:pPr>
      <w:r>
        <w:t xml:space="preserve">More than </w:t>
      </w:r>
      <w:r w:rsidR="003A10B9">
        <w:t>60% of 3</w:t>
      </w:r>
      <w:r w:rsidR="00151301">
        <w:t>-</w:t>
      </w:r>
      <w:r w:rsidR="003A10B9">
        <w:t>year</w:t>
      </w:r>
      <w:r w:rsidR="00151301">
        <w:t>-</w:t>
      </w:r>
      <w:r w:rsidR="003A10B9">
        <w:t xml:space="preserve">olds in </w:t>
      </w:r>
      <w:r w:rsidR="0062175E">
        <w:t>South Australia</w:t>
      </w:r>
      <w:r w:rsidR="003A10B9">
        <w:t xml:space="preserve"> already attend long day care services.</w:t>
      </w:r>
      <w:r w:rsidR="003A10B9" w:rsidRPr="00351596">
        <w:rPr>
          <w:vertAlign w:val="superscript"/>
        </w:rPr>
        <w:t>(19)</w:t>
      </w:r>
    </w:p>
    <w:p w14:paraId="41896AF0" w14:textId="2AB878F2" w:rsidR="003A10B9" w:rsidRDefault="003A10B9" w:rsidP="005C1881">
      <w:pPr>
        <w:pStyle w:val="Heading3"/>
      </w:pPr>
      <w:bookmarkStart w:id="30" w:name="_Toc171501576"/>
      <w:r>
        <w:t>Impact for women and girls</w:t>
      </w:r>
      <w:bookmarkEnd w:id="30"/>
    </w:p>
    <w:p w14:paraId="1A473489" w14:textId="77777777" w:rsidR="00D97A0D" w:rsidRDefault="003A10B9" w:rsidP="00602FE5">
      <w:r>
        <w:t>Women who participate in the unpaid care of children in Australia spend 1 hour 15 minutes more than men each day on this unpaid work.</w:t>
      </w:r>
      <w:r w:rsidRPr="00501C22">
        <w:rPr>
          <w:vertAlign w:val="superscript"/>
        </w:rPr>
        <w:t>(20)</w:t>
      </w:r>
    </w:p>
    <w:p w14:paraId="4FD83F8B" w14:textId="3067D445" w:rsidR="003A10B9" w:rsidRDefault="003A10B9" w:rsidP="00602FE5">
      <w:r>
        <w:t>Introducing universal preschool for 3</w:t>
      </w:r>
      <w:r w:rsidR="00151301">
        <w:t>-</w:t>
      </w:r>
      <w:r>
        <w:t>year-olds in a range of settings, and trialling Kindy Care to provide care options outside regular government preschool hours, will support women’s economic participation by alleviating the unpaid care burden and better matching care hours to standard working hours.</w:t>
      </w:r>
    </w:p>
    <w:p w14:paraId="6E3F066B" w14:textId="3D9DBEAD" w:rsidR="00FE2D52" w:rsidRDefault="003A10B9" w:rsidP="00602FE5">
      <w:r>
        <w:t>The $56 million investment in the early childhood workforce development increases the recognition and value of childcare workers in Australia, 92% of whom are women.</w:t>
      </w:r>
      <w:r w:rsidRPr="00716F28">
        <w:rPr>
          <w:vertAlign w:val="superscript"/>
        </w:rPr>
        <w:t>(21)</w:t>
      </w:r>
      <w:r w:rsidR="5A587C5B">
        <w:t xml:space="preserve"> </w:t>
      </w:r>
      <w:r>
        <w:t>It endeavours to attract and retain a highly skilled workforce and will contribute to shifting attitudes that devalue feminised work.</w:t>
      </w:r>
    </w:p>
    <w:p w14:paraId="67A8DA9F" w14:textId="77777777" w:rsidR="00FE2D52" w:rsidRDefault="00FE2D52" w:rsidP="00602FE5">
      <w:r>
        <w:br w:type="page"/>
      </w:r>
    </w:p>
    <w:p w14:paraId="2A5D2C7A" w14:textId="34168D54" w:rsidR="003A10B9" w:rsidRDefault="000B0639" w:rsidP="009100A8">
      <w:pPr>
        <w:pStyle w:val="Heading4"/>
        <w:pBdr>
          <w:top w:val="single" w:sz="36" w:space="6" w:color="B58DD3"/>
          <w:left w:val="single" w:sz="36" w:space="6" w:color="B58DD3"/>
          <w:bottom w:val="single" w:sz="36" w:space="6" w:color="B58DD3"/>
          <w:right w:val="single" w:sz="36" w:space="6" w:color="B58DD3"/>
        </w:pBdr>
      </w:pPr>
      <w:r>
        <w:lastRenderedPageBreak/>
        <w:t>Quick Statistic</w:t>
      </w:r>
      <w:r w:rsidR="003A10B9">
        <w:t>: Care and support workers</w:t>
      </w:r>
    </w:p>
    <w:p w14:paraId="591425DE" w14:textId="77777777" w:rsidR="005F3B67" w:rsidRDefault="003A10B9" w:rsidP="009100A8">
      <w:pPr>
        <w:pBdr>
          <w:top w:val="single" w:sz="36" w:space="6" w:color="B58DD3"/>
          <w:left w:val="single" w:sz="36" w:space="6" w:color="B58DD3"/>
          <w:bottom w:val="single" w:sz="36" w:space="6" w:color="B58DD3"/>
          <w:right w:val="single" w:sz="36" w:space="6" w:color="B58DD3"/>
        </w:pBdr>
      </w:pPr>
      <w:r>
        <w:t>92% of care and support workers are women.</w:t>
      </w:r>
      <w:r w:rsidRPr="00716F28">
        <w:rPr>
          <w:vertAlign w:val="superscript"/>
        </w:rPr>
        <w:t>(21)</w:t>
      </w:r>
    </w:p>
    <w:p w14:paraId="0EE285FA" w14:textId="4800F413" w:rsidR="003A10B9" w:rsidRDefault="001D7C0E" w:rsidP="009100A8">
      <w:pPr>
        <w:pStyle w:val="Heading4"/>
        <w:pBdr>
          <w:top w:val="single" w:sz="36" w:space="6" w:color="B58DD3"/>
          <w:left w:val="single" w:sz="36" w:space="6" w:color="B58DD3"/>
          <w:bottom w:val="single" w:sz="36" w:space="6" w:color="B58DD3"/>
          <w:right w:val="single" w:sz="36" w:space="6" w:color="B58DD3"/>
        </w:pBdr>
      </w:pPr>
      <w:r>
        <w:t>Quick Statistic</w:t>
      </w:r>
      <w:r w:rsidR="003A10B9">
        <w:t>: First Nations unpaid care activities</w:t>
      </w:r>
    </w:p>
    <w:p w14:paraId="233A8065" w14:textId="77777777" w:rsidR="003A10B9" w:rsidRDefault="003A10B9" w:rsidP="009100A8">
      <w:pPr>
        <w:pBdr>
          <w:top w:val="single" w:sz="36" w:space="6" w:color="B58DD3"/>
          <w:left w:val="single" w:sz="36" w:space="6" w:color="B58DD3"/>
          <w:bottom w:val="single" w:sz="36" w:space="6" w:color="B58DD3"/>
          <w:right w:val="single" w:sz="36" w:space="6" w:color="B58DD3"/>
        </w:pBdr>
      </w:pPr>
      <w:r>
        <w:t>First Nations women undertake unpaid care activities which account for more than 62% of their time on a usual week day.</w:t>
      </w:r>
      <w:r w:rsidRPr="00716F28">
        <w:rPr>
          <w:vertAlign w:val="superscript"/>
        </w:rPr>
        <w:t>(22)</w:t>
      </w:r>
      <w:r>
        <w:t xml:space="preserve"> </w:t>
      </w:r>
      <w:r>
        <w:br w:type="page"/>
      </w:r>
    </w:p>
    <w:p w14:paraId="3427E426" w14:textId="77777777" w:rsidR="005F3B67" w:rsidRDefault="003A10B9" w:rsidP="005C1881">
      <w:pPr>
        <w:pStyle w:val="Heading2"/>
      </w:pPr>
      <w:bookmarkStart w:id="31" w:name="_Toc171501577"/>
      <w:bookmarkStart w:id="32" w:name="_Toc171511274"/>
      <w:r>
        <w:lastRenderedPageBreak/>
        <w:t>Skills and Training</w:t>
      </w:r>
      <w:bookmarkEnd w:id="31"/>
      <w:bookmarkEnd w:id="32"/>
    </w:p>
    <w:p w14:paraId="468E51DF" w14:textId="012CF10B" w:rsidR="003A10B9" w:rsidRDefault="003A10B9" w:rsidP="005C1881">
      <w:pPr>
        <w:pStyle w:val="Heading3"/>
      </w:pPr>
      <w:bookmarkStart w:id="33" w:name="_Toc171501578"/>
      <w:r>
        <w:t>Why is this important for women and girls?</w:t>
      </w:r>
      <w:bookmarkEnd w:id="33"/>
      <w:r>
        <w:t xml:space="preserve"> </w:t>
      </w:r>
    </w:p>
    <w:p w14:paraId="41DDB001" w14:textId="7C1708E1" w:rsidR="003A10B9" w:rsidRDefault="003A10B9" w:rsidP="00602FE5">
      <w:r>
        <w:t>Providing equal opportunities for workforce participation and economic security is crucial to meet our state’s significant economic opportunities.</w:t>
      </w:r>
      <w:r w:rsidR="1C9FBB4C">
        <w:t xml:space="preserve"> </w:t>
      </w:r>
      <w:r>
        <w:t>Over their life course, women will earn less, be less likely to be in leadership roles, and accumulate less superannuation and savings than men.</w:t>
      </w:r>
    </w:p>
    <w:p w14:paraId="70B5DD2B" w14:textId="77777777" w:rsidR="003A10B9" w:rsidRDefault="003A10B9" w:rsidP="00602FE5">
      <w:r>
        <w:t>This cumulative loss of economic security means that women will be more likely to live in poverty in old age.</w:t>
      </w:r>
    </w:p>
    <w:p w14:paraId="18D79DB7" w14:textId="77777777" w:rsidR="005F3B67" w:rsidRDefault="003A10B9" w:rsidP="00602FE5">
      <w:r>
        <w:t>Initiatives aimed at supporting women to gain additional skills and encouraging businesses and organisations to adopt policies aimed at increasing gender equality have the potential to increase women’s workforce participation and improve their lifelong economic wellbeing. These initiatives will also ensure our state’s economic aspirations are realised.</w:t>
      </w:r>
    </w:p>
    <w:p w14:paraId="5287F91D" w14:textId="6493E57B" w:rsidR="003A10B9" w:rsidRDefault="003A10B9" w:rsidP="005C1881">
      <w:pPr>
        <w:pStyle w:val="Heading3"/>
      </w:pPr>
      <w:bookmarkStart w:id="34" w:name="_Toc171501579"/>
      <w:r>
        <w:t>Contributing 2024–2025 budget measures</w:t>
      </w:r>
      <w:bookmarkEnd w:id="34"/>
      <w:r>
        <w:t xml:space="preserve"> </w:t>
      </w:r>
    </w:p>
    <w:p w14:paraId="6A17A616" w14:textId="77777777" w:rsidR="00A855A6" w:rsidRDefault="003A10B9" w:rsidP="00602FE5">
      <w:pPr>
        <w:pStyle w:val="Bullet"/>
      </w:pPr>
      <w:r>
        <w:t>$275.6 million to increase the number of training places by around 35% to over 160,000, prioritising future skills needs of the state in areas including</w:t>
      </w:r>
      <w:r w:rsidR="00A855A6">
        <w:t>:</w:t>
      </w:r>
    </w:p>
    <w:p w14:paraId="5C48D371" w14:textId="061502C8" w:rsidR="00A855A6" w:rsidRDefault="008F706D" w:rsidP="00602FE5">
      <w:pPr>
        <w:pStyle w:val="Bullet-Indent"/>
      </w:pPr>
      <w:r>
        <w:t>d</w:t>
      </w:r>
      <w:r w:rsidR="003A10B9">
        <w:t>efence</w:t>
      </w:r>
    </w:p>
    <w:p w14:paraId="3DE824A1" w14:textId="181E207D" w:rsidR="00A855A6" w:rsidRDefault="008F706D" w:rsidP="00602FE5">
      <w:pPr>
        <w:pStyle w:val="Bullet-Indent"/>
      </w:pPr>
      <w:r>
        <w:t>h</w:t>
      </w:r>
      <w:r w:rsidR="003A10B9">
        <w:t>ealth</w:t>
      </w:r>
    </w:p>
    <w:p w14:paraId="3130F32D" w14:textId="77777777" w:rsidR="00A855A6" w:rsidRDefault="003A10B9" w:rsidP="00602FE5">
      <w:pPr>
        <w:pStyle w:val="Bullet-Indent"/>
      </w:pPr>
      <w:r>
        <w:t>building and construction</w:t>
      </w:r>
    </w:p>
    <w:p w14:paraId="326308FA" w14:textId="77777777" w:rsidR="00A855A6" w:rsidRDefault="003A10B9" w:rsidP="00602FE5">
      <w:pPr>
        <w:pStyle w:val="Bullet-Indent"/>
      </w:pPr>
      <w:r>
        <w:t>early childhood education</w:t>
      </w:r>
    </w:p>
    <w:p w14:paraId="0A4D6138" w14:textId="77777777" w:rsidR="00A855A6" w:rsidRDefault="003A10B9" w:rsidP="00602FE5">
      <w:pPr>
        <w:pStyle w:val="Bullet-Indent"/>
      </w:pPr>
      <w:r>
        <w:t>clean energy transition</w:t>
      </w:r>
    </w:p>
    <w:p w14:paraId="12C04F7E" w14:textId="77777777" w:rsidR="00A855A6" w:rsidRDefault="003A10B9" w:rsidP="00602FE5">
      <w:pPr>
        <w:pStyle w:val="Bullet-Indent"/>
      </w:pPr>
      <w:r>
        <w:t>information and communication technology.</w:t>
      </w:r>
    </w:p>
    <w:p w14:paraId="456CA593" w14:textId="7CF9B5CC" w:rsidR="003A10B9" w:rsidRDefault="003A10B9" w:rsidP="00602FE5">
      <w:pPr>
        <w:pStyle w:val="Bullet"/>
      </w:pPr>
      <w:r>
        <w:t>This includes a 20% increase in TAFE</w:t>
      </w:r>
      <w:r w:rsidR="00C26AB1">
        <w:t> </w:t>
      </w:r>
      <w:r>
        <w:t xml:space="preserve">SA places in regional </w:t>
      </w:r>
      <w:r w:rsidR="0062175E">
        <w:t>South Australia</w:t>
      </w:r>
      <w:r>
        <w:t>.</w:t>
      </w:r>
    </w:p>
    <w:p w14:paraId="7418E2A6" w14:textId="77777777" w:rsidR="003A10B9" w:rsidRDefault="003A10B9" w:rsidP="00602FE5">
      <w:pPr>
        <w:pStyle w:val="Bullet"/>
      </w:pPr>
      <w:r>
        <w:t xml:space="preserve">$56.2 million to support students and increase training completion rates, including additional funding for financial and other wellbeing </w:t>
      </w:r>
      <w:r w:rsidRPr="008D37E7">
        <w:t>supports, such as help to find</w:t>
      </w:r>
      <w:r>
        <w:t xml:space="preserve"> secure housing and manage financial stress, access to career and course information, and foundational skills programs.</w:t>
      </w:r>
    </w:p>
    <w:p w14:paraId="4CF2D20C" w14:textId="77777777" w:rsidR="005F3B67" w:rsidRDefault="712C5842" w:rsidP="00602FE5">
      <w:pPr>
        <w:pStyle w:val="Bullet"/>
      </w:pPr>
      <w:r>
        <w:t>Continuing s</w:t>
      </w:r>
      <w:r w:rsidR="003A10B9">
        <w:t xml:space="preserve">upport for a range of initiatives to support women in skills and training, including the </w:t>
      </w:r>
      <w:r w:rsidR="003A10B9" w:rsidRPr="0569A4F7">
        <w:t>Driving Women’s Participation in South Australian Industries Forum, Defence Industry Connection Program, Skills Shortage Solutions, and Software Engineering Degree Apprenticeships.</w:t>
      </w:r>
    </w:p>
    <w:p w14:paraId="024F432B" w14:textId="39B0C142" w:rsidR="003A10B9" w:rsidRDefault="003A10B9" w:rsidP="009100A8">
      <w:pPr>
        <w:pStyle w:val="Heading3"/>
      </w:pPr>
      <w:r>
        <w:t>Impact for women and girls</w:t>
      </w:r>
    </w:p>
    <w:p w14:paraId="69B3CE9F" w14:textId="77777777" w:rsidR="005F3B67" w:rsidRDefault="003A10B9" w:rsidP="00602FE5">
      <w:r>
        <w:t>In South Australia, fewer women are employed than men, and women are more likely to be underemployed (wanting more work).</w:t>
      </w:r>
      <w:r w:rsidRPr="00C26AB1">
        <w:rPr>
          <w:vertAlign w:val="superscript"/>
        </w:rPr>
        <w:t>(23)</w:t>
      </w:r>
      <w:r>
        <w:t xml:space="preserve"> Funding initiatives that boost opportunities for women to obtain skills and training in future industries of demand will contribute to ensuring that South Australian women and girls can build financially stable futures and are empowered to equally participate in all aspects of the community.</w:t>
      </w:r>
    </w:p>
    <w:p w14:paraId="23F590B4" w14:textId="6387304E" w:rsidR="003A10B9" w:rsidRDefault="00C26AB1" w:rsidP="009100A8">
      <w:pPr>
        <w:pStyle w:val="Heading4"/>
        <w:pBdr>
          <w:top w:val="single" w:sz="36" w:space="6" w:color="B58DD3"/>
          <w:left w:val="single" w:sz="36" w:space="6" w:color="B58DD3"/>
          <w:bottom w:val="single" w:sz="36" w:space="6" w:color="B58DD3"/>
          <w:right w:val="single" w:sz="36" w:space="6" w:color="B58DD3"/>
        </w:pBdr>
      </w:pPr>
      <w:r>
        <w:lastRenderedPageBreak/>
        <w:t>Quick Statistic</w:t>
      </w:r>
      <w:r w:rsidR="003A10B9">
        <w:t>: Gender pay gap</w:t>
      </w:r>
    </w:p>
    <w:p w14:paraId="6DC2F2A1" w14:textId="75BDD3D3" w:rsidR="005F3B67" w:rsidRDefault="003A10B9" w:rsidP="009100A8">
      <w:pPr>
        <w:pBdr>
          <w:top w:val="single" w:sz="36" w:space="6" w:color="B58DD3"/>
          <w:left w:val="single" w:sz="36" w:space="6" w:color="B58DD3"/>
          <w:bottom w:val="single" w:sz="36" w:space="6" w:color="B58DD3"/>
          <w:right w:val="single" w:sz="36" w:space="6" w:color="B58DD3"/>
        </w:pBdr>
      </w:pPr>
      <w:r>
        <w:t xml:space="preserve">In </w:t>
      </w:r>
      <w:r w:rsidR="0062175E">
        <w:t>South Australia</w:t>
      </w:r>
      <w:r>
        <w:t>, women full</w:t>
      </w:r>
      <w:r w:rsidR="00151301">
        <w:t>-</w:t>
      </w:r>
      <w:r>
        <w:t>time workers are earning 9.2% less than men.</w:t>
      </w:r>
      <w:r w:rsidRPr="00E7333F">
        <w:rPr>
          <w:vertAlign w:val="superscript"/>
        </w:rPr>
        <w:t>(25)</w:t>
      </w:r>
    </w:p>
    <w:p w14:paraId="07EC5465" w14:textId="24D5ACC9" w:rsidR="003A10B9" w:rsidRDefault="00E7333F" w:rsidP="009100A8">
      <w:pPr>
        <w:pStyle w:val="Heading4"/>
        <w:pBdr>
          <w:top w:val="single" w:sz="36" w:space="6" w:color="B58DD3"/>
          <w:left w:val="single" w:sz="36" w:space="6" w:color="B58DD3"/>
          <w:bottom w:val="single" w:sz="36" w:space="6" w:color="B58DD3"/>
          <w:right w:val="single" w:sz="36" w:space="6" w:color="B58DD3"/>
        </w:pBdr>
      </w:pPr>
      <w:r>
        <w:t>Quick Statistic</w:t>
      </w:r>
      <w:r w:rsidR="003A10B9">
        <w:t>: Gender composition in the workforce</w:t>
      </w:r>
    </w:p>
    <w:p w14:paraId="5D5DBEEA" w14:textId="1F8CC41F" w:rsidR="00E7333F" w:rsidRDefault="003A10B9" w:rsidP="009100A8">
      <w:pPr>
        <w:pBdr>
          <w:top w:val="single" w:sz="36" w:space="6" w:color="B58DD3"/>
          <w:left w:val="single" w:sz="36" w:space="6" w:color="B58DD3"/>
          <w:bottom w:val="single" w:sz="36" w:space="6" w:color="B58DD3"/>
          <w:right w:val="single" w:sz="36" w:space="6" w:color="B58DD3"/>
        </w:pBdr>
      </w:pPr>
      <w:r>
        <w:t xml:space="preserve">Women comprise 17% </w:t>
      </w:r>
      <w:r w:rsidR="00E7333F">
        <w:t xml:space="preserve">of </w:t>
      </w:r>
      <w:r>
        <w:t>STEM enrolments</w:t>
      </w:r>
      <w:r w:rsidR="0049707E">
        <w:t xml:space="preserve"> (that is</w:t>
      </w:r>
      <w:r>
        <w:t>,</w:t>
      </w:r>
      <w:r w:rsidR="0049707E">
        <w:t xml:space="preserve"> </w:t>
      </w:r>
      <w:r w:rsidR="00E14D57">
        <w:t>enrolments</w:t>
      </w:r>
      <w:r w:rsidR="0049707E">
        <w:t xml:space="preserve"> in science, </w:t>
      </w:r>
      <w:r w:rsidR="00D35F05">
        <w:t>technology, engineering and maths)</w:t>
      </w:r>
      <w:r w:rsidR="005775E3">
        <w:t>.</w:t>
      </w:r>
      <w:r>
        <w:t xml:space="preserve"> </w:t>
      </w:r>
      <w:r w:rsidR="00E14D57">
        <w:t xml:space="preserve">Women comprise </w:t>
      </w:r>
      <w:r>
        <w:t xml:space="preserve">15% </w:t>
      </w:r>
      <w:r w:rsidR="00E7333F">
        <w:t xml:space="preserve">of </w:t>
      </w:r>
      <w:r w:rsidR="00E14D57">
        <w:t xml:space="preserve">the </w:t>
      </w:r>
      <w:r>
        <w:t xml:space="preserve">STEM workforce, 35% </w:t>
      </w:r>
      <w:r w:rsidR="00E7333F">
        <w:t>of the c</w:t>
      </w:r>
      <w:r>
        <w:t>lean energy sector</w:t>
      </w:r>
      <w:r w:rsidR="00E7333F">
        <w:t xml:space="preserve"> and</w:t>
      </w:r>
      <w:r>
        <w:t xml:space="preserve"> 26% </w:t>
      </w:r>
      <w:r w:rsidR="00E7333F">
        <w:t>of the c</w:t>
      </w:r>
      <w:r>
        <w:t>onstruction industry</w:t>
      </w:r>
      <w:r w:rsidRPr="00E7333F">
        <w:rPr>
          <w:vertAlign w:val="superscript"/>
        </w:rPr>
        <w:t>(24)</w:t>
      </w:r>
      <w:r>
        <w:t xml:space="preserve">. </w:t>
      </w:r>
    </w:p>
    <w:p w14:paraId="106E5D9E" w14:textId="2B54556B" w:rsidR="003A10B9" w:rsidRDefault="003A10B9" w:rsidP="00602FE5">
      <w:r>
        <w:br w:type="page"/>
      </w:r>
    </w:p>
    <w:p w14:paraId="4F2E6213" w14:textId="77777777" w:rsidR="005F3B67" w:rsidRDefault="003A10B9" w:rsidP="005C1881">
      <w:pPr>
        <w:pStyle w:val="Heading2"/>
      </w:pPr>
      <w:bookmarkStart w:id="35" w:name="_Toc171501580"/>
      <w:bookmarkStart w:id="36" w:name="_Toc171511275"/>
      <w:r>
        <w:lastRenderedPageBreak/>
        <w:t>Participation in Business</w:t>
      </w:r>
      <w:bookmarkEnd w:id="35"/>
      <w:bookmarkEnd w:id="36"/>
    </w:p>
    <w:p w14:paraId="4BEDFFD7" w14:textId="5D097730" w:rsidR="003A10B9" w:rsidRDefault="003A10B9" w:rsidP="005C1881">
      <w:pPr>
        <w:pStyle w:val="Heading3"/>
      </w:pPr>
      <w:bookmarkStart w:id="37" w:name="_Toc171501581"/>
      <w:r>
        <w:t>Why is this important for women and girls?</w:t>
      </w:r>
      <w:bookmarkEnd w:id="37"/>
      <w:r>
        <w:t xml:space="preserve"> </w:t>
      </w:r>
    </w:p>
    <w:p w14:paraId="047CCBA7" w14:textId="577D6F55" w:rsidR="003A10B9" w:rsidRDefault="003A10B9" w:rsidP="00602FE5">
      <w:r>
        <w:t xml:space="preserve">Women continue to experience lower levels of economic security over the course of their life compared to men due to a range of factors including the gender pay gap, time out of the workforce to undertake caring responsibilities, and occupational segregation. They are also less likely to be in leadership positions, with women representing just 22% of </w:t>
      </w:r>
      <w:r w:rsidR="003A4D37">
        <w:t>chief executive officer</w:t>
      </w:r>
      <w:r>
        <w:t xml:space="preserve">s, 30% of heads of business, and 19% of </w:t>
      </w:r>
      <w:r w:rsidR="003A4D37">
        <w:t>b</w:t>
      </w:r>
      <w:r>
        <w:t xml:space="preserve">oard </w:t>
      </w:r>
      <w:r w:rsidR="003A4D37">
        <w:t>c</w:t>
      </w:r>
      <w:r>
        <w:t>hairs (for private sector employers over 100 employees).</w:t>
      </w:r>
      <w:r w:rsidRPr="003A4D37">
        <w:rPr>
          <w:vertAlign w:val="superscript"/>
        </w:rPr>
        <w:t>(26)</w:t>
      </w:r>
      <w:r>
        <w:t xml:space="preserve"> In the </w:t>
      </w:r>
      <w:r w:rsidR="00C963A8">
        <w:t>ASX</w:t>
      </w:r>
      <w:r>
        <w:t xml:space="preserve"> 300</w:t>
      </w:r>
      <w:r w:rsidR="00C963A8">
        <w:t xml:space="preserve"> (</w:t>
      </w:r>
      <w:r w:rsidR="00BB54D8" w:rsidRPr="00BB54D8">
        <w:t xml:space="preserve">300 large Australian companies </w:t>
      </w:r>
      <w:r w:rsidR="00BB54D8">
        <w:t xml:space="preserve">listed on the </w:t>
      </w:r>
      <w:r w:rsidR="004062FC" w:rsidRPr="004062FC">
        <w:t>Australian Securities Exchange</w:t>
      </w:r>
      <w:r w:rsidR="00C963A8">
        <w:t>)</w:t>
      </w:r>
      <w:r w:rsidR="00FD310D">
        <w:t xml:space="preserve"> women represent</w:t>
      </w:r>
      <w:r>
        <w:t xml:space="preserve"> 8.7%</w:t>
      </w:r>
      <w:r w:rsidR="00D014D1">
        <w:t xml:space="preserve"> chief executive officers</w:t>
      </w:r>
      <w:r>
        <w:t>,</w:t>
      </w:r>
      <w:r w:rsidRPr="003E3126">
        <w:rPr>
          <w:vertAlign w:val="superscript"/>
        </w:rPr>
        <w:t>(27)</w:t>
      </w:r>
      <w:r>
        <w:t xml:space="preserve"> 36.9%</w:t>
      </w:r>
      <w:r w:rsidR="003E3126" w:rsidRPr="003E3126">
        <w:t xml:space="preserve"> </w:t>
      </w:r>
      <w:r w:rsidR="003E3126">
        <w:t>board members</w:t>
      </w:r>
      <w:r>
        <w:t xml:space="preserve"> and 11.3%</w:t>
      </w:r>
      <w:r w:rsidR="003E3126" w:rsidRPr="003E3126">
        <w:t xml:space="preserve"> </w:t>
      </w:r>
      <w:r w:rsidR="003E3126">
        <w:t xml:space="preserve">board chairs </w:t>
      </w:r>
      <w:r w:rsidRPr="003E3126">
        <w:rPr>
          <w:vertAlign w:val="superscript"/>
        </w:rPr>
        <w:t>(28)</w:t>
      </w:r>
      <w:r w:rsidR="003E3126" w:rsidRPr="003E3126">
        <w:t>.</w:t>
      </w:r>
    </w:p>
    <w:p w14:paraId="1BC0E626" w14:textId="77777777" w:rsidR="005F3B67" w:rsidRDefault="003A10B9" w:rsidP="00602FE5">
      <w:r>
        <w:t>Supporting women in business, particularly as entrepreneurs and innovators, contributes to us building a society where women have equal opportunity. It also contributes to women’s leadership opportunities, helping to increase women’s representation in leadership.</w:t>
      </w:r>
    </w:p>
    <w:p w14:paraId="3CC2C1C4" w14:textId="6AA374B3" w:rsidR="003A10B9" w:rsidRDefault="003A10B9" w:rsidP="005C1881">
      <w:pPr>
        <w:pStyle w:val="Heading3"/>
      </w:pPr>
      <w:bookmarkStart w:id="38" w:name="_Toc171501582"/>
      <w:r>
        <w:t>Contributing 202</w:t>
      </w:r>
      <w:r w:rsidRPr="005C1881">
        <w:t>4</w:t>
      </w:r>
      <w:r>
        <w:t>–2025 budget measures</w:t>
      </w:r>
      <w:bookmarkEnd w:id="38"/>
      <w:r>
        <w:t xml:space="preserve"> </w:t>
      </w:r>
    </w:p>
    <w:p w14:paraId="16904F14" w14:textId="206DBEE6" w:rsidR="003A10B9" w:rsidRDefault="003A10B9" w:rsidP="00602FE5">
      <w:pPr>
        <w:pStyle w:val="Bullet"/>
      </w:pPr>
      <w:r>
        <w:t xml:space="preserve">$380,000 over two years to extend and expand to all age groups the </w:t>
      </w:r>
      <w:r w:rsidR="00AA4B8D" w:rsidRPr="00AA4B8D">
        <w:t xml:space="preserve">South Australian Young Entrepreneurs Scheme </w:t>
      </w:r>
      <w:r w:rsidR="00AA4B8D">
        <w:t>(</w:t>
      </w:r>
      <w:r>
        <w:t>SAYES</w:t>
      </w:r>
      <w:r w:rsidR="00AA4B8D">
        <w:t>)</w:t>
      </w:r>
      <w:r>
        <w:t xml:space="preserve">, a business mentoring and learning program designed to help </w:t>
      </w:r>
      <w:r w:rsidR="0062175E">
        <w:t>South Australia</w:t>
      </w:r>
      <w:r>
        <w:t xml:space="preserve"> entrepreneurs establish a business or further develop and grow their existing business.</w:t>
      </w:r>
    </w:p>
    <w:p w14:paraId="393661B2" w14:textId="77777777" w:rsidR="003A10B9" w:rsidRDefault="003A10B9" w:rsidP="00602FE5">
      <w:pPr>
        <w:pStyle w:val="Bullet"/>
      </w:pPr>
      <w:r>
        <w:t>Continued support for:</w:t>
      </w:r>
    </w:p>
    <w:p w14:paraId="764EC2AD" w14:textId="2BE8BC18" w:rsidR="003A10B9" w:rsidRDefault="003A10B9" w:rsidP="00602FE5">
      <w:pPr>
        <w:pStyle w:val="Bullet-Indent"/>
      </w:pPr>
      <w:r>
        <w:t>Women in Business programs— supporting entrepreneurial</w:t>
      </w:r>
      <w:r w:rsidR="00856033">
        <w:t>-</w:t>
      </w:r>
      <w:r>
        <w:t>minded women business owners to expand their leadership and business skills.</w:t>
      </w:r>
    </w:p>
    <w:p w14:paraId="468F5EF5" w14:textId="77777777" w:rsidR="003A10B9" w:rsidRDefault="003A10B9" w:rsidP="00602FE5">
      <w:pPr>
        <w:pStyle w:val="Bullet-Indent"/>
      </w:pPr>
      <w:r>
        <w:t>Fearless Innovator Grants— assisting women to access capital to grow their business into a national and global enterprise.</w:t>
      </w:r>
    </w:p>
    <w:p w14:paraId="18C65EA1" w14:textId="289E856A" w:rsidR="005F3B67" w:rsidRDefault="003A10B9" w:rsidP="00602FE5">
      <w:pPr>
        <w:pStyle w:val="Bullet-Indent"/>
      </w:pPr>
      <w:r>
        <w:t>Women in Innovation (WINN)— a not</w:t>
      </w:r>
      <w:r w:rsidR="00151301">
        <w:t>-</w:t>
      </w:r>
      <w:r>
        <w:t>for</w:t>
      </w:r>
      <w:r w:rsidR="00151301">
        <w:t>-</w:t>
      </w:r>
      <w:r>
        <w:t xml:space="preserve">profit initiative to assist more </w:t>
      </w:r>
      <w:r w:rsidR="0062175E">
        <w:t>South Australia</w:t>
      </w:r>
      <w:r>
        <w:t xml:space="preserve"> women with a startup.</w:t>
      </w:r>
    </w:p>
    <w:p w14:paraId="5547FAD8" w14:textId="6399A7C7" w:rsidR="003A10B9" w:rsidRDefault="003A10B9" w:rsidP="005C1881">
      <w:pPr>
        <w:pStyle w:val="Heading3"/>
      </w:pPr>
      <w:bookmarkStart w:id="39" w:name="_Toc171501583"/>
      <w:r>
        <w:t>Impact for women and girls</w:t>
      </w:r>
      <w:bookmarkEnd w:id="39"/>
    </w:p>
    <w:p w14:paraId="456F1FAA" w14:textId="77777777" w:rsidR="003A10B9" w:rsidRDefault="003A10B9" w:rsidP="00602FE5">
      <w:r>
        <w:t>62% of median employer gender pay gaps in Australia are more than 5% (for private sector employers with more than 100 employees).</w:t>
      </w:r>
      <w:r w:rsidRPr="00E23166">
        <w:rPr>
          <w:vertAlign w:val="superscript"/>
        </w:rPr>
        <w:t>(29)</w:t>
      </w:r>
    </w:p>
    <w:p w14:paraId="53D53B5A" w14:textId="77777777" w:rsidR="005F3B67" w:rsidRDefault="003A10B9" w:rsidP="00602FE5">
      <w:r>
        <w:t>Funding to support women across a range of innovation and entrepreneurship programs will help to improve women’s equal access to economic security and participation in leadership roles that empower them to contribute to public life.</w:t>
      </w:r>
    </w:p>
    <w:p w14:paraId="507870EE" w14:textId="4EB63AAD" w:rsidR="003A10B9" w:rsidRPr="006A646F" w:rsidRDefault="00602FE5" w:rsidP="005C1881">
      <w:pPr>
        <w:pStyle w:val="Heading4"/>
      </w:pPr>
      <w:r w:rsidRPr="006A646F">
        <w:t>Quick Statistic</w:t>
      </w:r>
      <w:r w:rsidR="003A10B9" w:rsidRPr="006A646F">
        <w:t>: Women’s representation in leadership</w:t>
      </w:r>
    </w:p>
    <w:p w14:paraId="5B45007A" w14:textId="1B16C307" w:rsidR="003A10B9" w:rsidRDefault="00E23166" w:rsidP="006A646F">
      <w:pPr>
        <w:pBdr>
          <w:top w:val="single" w:sz="36" w:space="5" w:color="B58DD3"/>
          <w:left w:val="single" w:sz="36" w:space="5" w:color="B58DD3"/>
          <w:bottom w:val="single" w:sz="36" w:space="5" w:color="B58DD3"/>
          <w:right w:val="single" w:sz="36" w:space="5" w:color="B58DD3"/>
        </w:pBdr>
      </w:pPr>
      <w:r>
        <w:t xml:space="preserve">Women represent </w:t>
      </w:r>
      <w:r w:rsidR="003A10B9">
        <w:t xml:space="preserve">22% </w:t>
      </w:r>
      <w:r>
        <w:t>chief executive officers</w:t>
      </w:r>
      <w:r w:rsidR="003A10B9">
        <w:t xml:space="preserve">, 30% </w:t>
      </w:r>
      <w:r>
        <w:t>h</w:t>
      </w:r>
      <w:r w:rsidR="003A10B9">
        <w:t xml:space="preserve">eads of business, 19% </w:t>
      </w:r>
      <w:r>
        <w:t>b</w:t>
      </w:r>
      <w:r w:rsidR="003A10B9">
        <w:t>oard chairs</w:t>
      </w:r>
      <w:r w:rsidR="00EF315C">
        <w:t> </w:t>
      </w:r>
      <w:r w:rsidR="003A10B9" w:rsidRPr="00EF315C">
        <w:rPr>
          <w:vertAlign w:val="superscript"/>
        </w:rPr>
        <w:t>(30)</w:t>
      </w:r>
      <w:r w:rsidR="003A10B9">
        <w:br w:type="page"/>
      </w:r>
    </w:p>
    <w:p w14:paraId="3B295C95" w14:textId="77777777" w:rsidR="005F3B67" w:rsidRDefault="003A10B9" w:rsidP="005C1881">
      <w:pPr>
        <w:pStyle w:val="Heading2"/>
      </w:pPr>
      <w:bookmarkStart w:id="40" w:name="_Toc171501584"/>
      <w:bookmarkStart w:id="41" w:name="_Toc171511276"/>
      <w:r>
        <w:lastRenderedPageBreak/>
        <w:t>Participation in Sport</w:t>
      </w:r>
      <w:bookmarkEnd w:id="40"/>
      <w:bookmarkEnd w:id="41"/>
    </w:p>
    <w:p w14:paraId="0F75BC7E" w14:textId="786E5114" w:rsidR="003A10B9" w:rsidRDefault="003A10B9" w:rsidP="005C1881">
      <w:pPr>
        <w:pStyle w:val="Heading3"/>
      </w:pPr>
      <w:bookmarkStart w:id="42" w:name="_Toc171501585"/>
      <w:r>
        <w:t>Why is this important for women and girls?</w:t>
      </w:r>
      <w:bookmarkEnd w:id="42"/>
      <w:r>
        <w:t xml:space="preserve"> </w:t>
      </w:r>
    </w:p>
    <w:p w14:paraId="75993595" w14:textId="77777777" w:rsidR="00027DB0" w:rsidRDefault="003A10B9" w:rsidP="00602FE5">
      <w:r>
        <w:t>Women and girls’ participation in sport is crucial for all facets of their wellbeing and contributes to positive economic and health outcomes.</w:t>
      </w:r>
    </w:p>
    <w:p w14:paraId="7BC2D522" w14:textId="3BE5AFE2" w:rsidR="003A10B9" w:rsidRDefault="003A10B9" w:rsidP="00602FE5">
      <w:r>
        <w:t>There are multiple barriers to women and girls getting involved in sport including the cost and time to participate, fear or experience of harassment and judgement, the absence of visible role models</w:t>
      </w:r>
      <w:r w:rsidRPr="00260D1B">
        <w:rPr>
          <w:vertAlign w:val="superscript"/>
        </w:rPr>
        <w:t>(31)</w:t>
      </w:r>
      <w:r>
        <w:t xml:space="preserve"> and a lack of programs and facilities.</w:t>
      </w:r>
    </w:p>
    <w:p w14:paraId="7C778367" w14:textId="77777777" w:rsidR="003A10B9" w:rsidRDefault="003A10B9" w:rsidP="00602FE5">
      <w:r>
        <w:t>These barriers have historically disincentivised women to participate in sport as a player, volunteer, or leader.</w:t>
      </w:r>
    </w:p>
    <w:p w14:paraId="49689064" w14:textId="77777777" w:rsidR="00027DB0" w:rsidRDefault="003A10B9" w:rsidP="00602FE5">
      <w:r>
        <w:t>Women aged 15 years and over participate in sports</w:t>
      </w:r>
      <w:r w:rsidR="00151301">
        <w:t>-</w:t>
      </w:r>
      <w:r>
        <w:t>related activities at least once per week at substantially lower rates than men.</w:t>
      </w:r>
      <w:r w:rsidRPr="00260D1B">
        <w:rPr>
          <w:vertAlign w:val="superscript"/>
        </w:rPr>
        <w:t>(32)</w:t>
      </w:r>
    </w:p>
    <w:p w14:paraId="72769BC0" w14:textId="31EF6E55" w:rsidR="005F3B67" w:rsidRDefault="003A10B9" w:rsidP="00602FE5">
      <w:r>
        <w:t xml:space="preserve">Women are also underrepresented in sports leadership, representing 14% of Sports and Recreation </w:t>
      </w:r>
      <w:r w:rsidR="007E6F8B">
        <w:t>chief executive officer</w:t>
      </w:r>
      <w:r>
        <w:t xml:space="preserve">s and 33% of </w:t>
      </w:r>
      <w:r w:rsidR="007E6F8B">
        <w:t>h</w:t>
      </w:r>
      <w:r>
        <w:t>eads of Business (for private sector employers over 100 employees).</w:t>
      </w:r>
      <w:r w:rsidRPr="007E6F8B">
        <w:rPr>
          <w:vertAlign w:val="superscript"/>
        </w:rPr>
        <w:t>(33)</w:t>
      </w:r>
    </w:p>
    <w:p w14:paraId="0AA33CBF" w14:textId="42E8A7B5" w:rsidR="003A10B9" w:rsidRDefault="003A10B9" w:rsidP="005C1881">
      <w:pPr>
        <w:pStyle w:val="Heading3"/>
      </w:pPr>
      <w:bookmarkStart w:id="43" w:name="_Toc171501586"/>
      <w:r>
        <w:t>Contributing 2024–2025 budget measures</w:t>
      </w:r>
      <w:bookmarkEnd w:id="43"/>
      <w:r>
        <w:t xml:space="preserve"> </w:t>
      </w:r>
    </w:p>
    <w:p w14:paraId="335E30D9" w14:textId="77777777" w:rsidR="003A10B9" w:rsidRDefault="003A10B9" w:rsidP="00602FE5">
      <w:pPr>
        <w:pStyle w:val="Bullet"/>
      </w:pPr>
      <w:r>
        <w:t>$81.3 million over four years to redevelop the Netball SA stadium at Mile End, increasing the number of indoor courts allowing greater capacity for indoor netball and other indoor sports, upgrading the 26 existing outdoor courts, and improving supporting infrastructure.</w:t>
      </w:r>
    </w:p>
    <w:p w14:paraId="3F84B6EB" w14:textId="77777777" w:rsidR="003A10B9" w:rsidRDefault="003A10B9" w:rsidP="00602FE5">
      <w:pPr>
        <w:pStyle w:val="Bullet"/>
      </w:pPr>
      <w:r>
        <w:t>$54.6 million over four years to expand the sports vouchers program from 1 January 2025 and address the cost of children participating in sport and recreation activities, supporting the participation of around 100,000 children.</w:t>
      </w:r>
    </w:p>
    <w:p w14:paraId="616A3727" w14:textId="77777777" w:rsidR="003A10B9" w:rsidRDefault="003A10B9" w:rsidP="00602FE5">
      <w:pPr>
        <w:pStyle w:val="Bullet"/>
      </w:pPr>
      <w:r>
        <w:t>Continuing the $18 million Power of Her Funding Program providing funding for facilities, equipment and programs to grow girls’ and women’s participation.</w:t>
      </w:r>
    </w:p>
    <w:p w14:paraId="6B8E9BDF" w14:textId="77777777" w:rsidR="005F3B67" w:rsidRDefault="003A10B9" w:rsidP="00602FE5">
      <w:pPr>
        <w:pStyle w:val="Bullet"/>
      </w:pPr>
      <w:r>
        <w:t xml:space="preserve">$200,000 in 2024–25 for education and community engagement and to plan, implement and deliver strategies to help increase and diversify participation in recreational fishing activities including </w:t>
      </w:r>
      <w:proofErr w:type="spellStart"/>
      <w:r>
        <w:t>RecFish</w:t>
      </w:r>
      <w:proofErr w:type="spellEnd"/>
      <w:r>
        <w:t xml:space="preserve"> SA’s ‘Reel Women’ fishing diversity program.</w:t>
      </w:r>
    </w:p>
    <w:p w14:paraId="013D8D27" w14:textId="653CE0F2" w:rsidR="003A10B9" w:rsidRDefault="003A10B9" w:rsidP="005C1881">
      <w:pPr>
        <w:pStyle w:val="Heading3"/>
      </w:pPr>
      <w:bookmarkStart w:id="44" w:name="_Toc171501587"/>
      <w:r>
        <w:t>Impact for women and girls</w:t>
      </w:r>
      <w:bookmarkEnd w:id="44"/>
    </w:p>
    <w:p w14:paraId="315CC0E6" w14:textId="77777777" w:rsidR="003A10B9" w:rsidRDefault="003A10B9" w:rsidP="00602FE5">
      <w:r>
        <w:t>Increasing the capacity of the Netball SA stadium—for both netball and other sports—will provide increased opportunity for women and girls to participate in sport and experience its wellbeing benefits. Financial support for sports participation through the doubling of sports vouchers will enable girls to play sport in higher numbers.</w:t>
      </w:r>
    </w:p>
    <w:p w14:paraId="25BC8D88" w14:textId="597B04F6" w:rsidR="00CA3ADF" w:rsidRDefault="003A10B9" w:rsidP="00602FE5">
      <w:r>
        <w:t>Continued funding for women’s sport facilities, and for diversifying sports that have been traditionally gender segregated will further enable women to participate equally.</w:t>
      </w:r>
    </w:p>
    <w:p w14:paraId="5F7A34A5" w14:textId="77777777" w:rsidR="00CA3ADF" w:rsidRDefault="00CA3ADF">
      <w:pPr>
        <w:spacing w:line="259" w:lineRule="auto"/>
      </w:pPr>
      <w:r>
        <w:br w:type="page"/>
      </w:r>
    </w:p>
    <w:p w14:paraId="6A1C4474" w14:textId="77777777" w:rsidR="005F3B67" w:rsidRDefault="005F3B67" w:rsidP="00602FE5"/>
    <w:p w14:paraId="736E8CDE" w14:textId="11072B03" w:rsidR="003A10B9" w:rsidRDefault="000171F9" w:rsidP="009100A8">
      <w:pPr>
        <w:pStyle w:val="Heading4"/>
        <w:pBdr>
          <w:top w:val="single" w:sz="36" w:space="6" w:color="B58DD3"/>
          <w:left w:val="single" w:sz="36" w:space="6" w:color="B58DD3"/>
          <w:bottom w:val="single" w:sz="36" w:space="6" w:color="B58DD3"/>
          <w:right w:val="single" w:sz="36" w:space="6" w:color="B58DD3"/>
        </w:pBdr>
      </w:pPr>
      <w:r>
        <w:t>Quick Statistic</w:t>
      </w:r>
      <w:r w:rsidR="003A10B9">
        <w:t>: Women CEOs</w:t>
      </w:r>
    </w:p>
    <w:p w14:paraId="5CD8859E" w14:textId="63B56110" w:rsidR="005F3B67" w:rsidRDefault="003A10B9" w:rsidP="009100A8">
      <w:pPr>
        <w:pBdr>
          <w:top w:val="single" w:sz="36" w:space="6" w:color="B58DD3"/>
          <w:left w:val="single" w:sz="36" w:space="6" w:color="B58DD3"/>
          <w:bottom w:val="single" w:sz="36" w:space="6" w:color="B58DD3"/>
          <w:right w:val="single" w:sz="36" w:space="6" w:color="B58DD3"/>
        </w:pBdr>
      </w:pPr>
      <w:r>
        <w:t>14% of</w:t>
      </w:r>
      <w:r w:rsidR="00A23473">
        <w:t xml:space="preserve"> s</w:t>
      </w:r>
      <w:r>
        <w:t xml:space="preserve">ports and </w:t>
      </w:r>
      <w:r w:rsidR="00A23473">
        <w:t>r</w:t>
      </w:r>
      <w:r>
        <w:t xml:space="preserve">ecreation </w:t>
      </w:r>
      <w:r w:rsidR="00F37118">
        <w:t>chief executive officers</w:t>
      </w:r>
      <w:r>
        <w:t xml:space="preserve"> are women.</w:t>
      </w:r>
      <w:r w:rsidRPr="00F37118">
        <w:rPr>
          <w:vertAlign w:val="superscript"/>
        </w:rPr>
        <w:t>(34)</w:t>
      </w:r>
    </w:p>
    <w:p w14:paraId="10FAC39C" w14:textId="1CCC9283" w:rsidR="003A10B9" w:rsidRDefault="000171F9" w:rsidP="009100A8">
      <w:pPr>
        <w:pStyle w:val="Heading4"/>
        <w:pBdr>
          <w:top w:val="single" w:sz="36" w:space="6" w:color="B58DD3"/>
          <w:left w:val="single" w:sz="36" w:space="6" w:color="B58DD3"/>
          <w:bottom w:val="single" w:sz="36" w:space="6" w:color="B58DD3"/>
          <w:right w:val="single" w:sz="36" w:space="6" w:color="B58DD3"/>
        </w:pBdr>
      </w:pPr>
      <w:r>
        <w:t>Quick Statistic</w:t>
      </w:r>
      <w:r w:rsidR="003A10B9">
        <w:t>: Sport participation over 15 years</w:t>
      </w:r>
    </w:p>
    <w:p w14:paraId="457E884C" w14:textId="6D7E74BF" w:rsidR="003A10B9" w:rsidRDefault="003A10B9" w:rsidP="009100A8">
      <w:pPr>
        <w:pBdr>
          <w:top w:val="single" w:sz="36" w:space="6" w:color="B58DD3"/>
          <w:left w:val="single" w:sz="36" w:space="6" w:color="B58DD3"/>
          <w:bottom w:val="single" w:sz="36" w:space="6" w:color="B58DD3"/>
          <w:right w:val="single" w:sz="36" w:space="6" w:color="B58DD3"/>
        </w:pBdr>
      </w:pPr>
      <w:r>
        <w:t xml:space="preserve">Nationally, 33.6% of women </w:t>
      </w:r>
      <w:r w:rsidR="0021740E">
        <w:t xml:space="preserve">participate in sport </w:t>
      </w:r>
      <w:r>
        <w:t>versus 49.8 %</w:t>
      </w:r>
      <w:r w:rsidR="0021740E">
        <w:t xml:space="preserve"> of men</w:t>
      </w:r>
      <w:r>
        <w:t xml:space="preserve">. In </w:t>
      </w:r>
      <w:r w:rsidR="0062175E">
        <w:t>South Australia</w:t>
      </w:r>
      <w:r>
        <w:t xml:space="preserve">, 28.4% of women </w:t>
      </w:r>
      <w:r w:rsidR="00641B4B">
        <w:t xml:space="preserve">participate </w:t>
      </w:r>
      <w:r>
        <w:t xml:space="preserve">versus 45.2% of men. </w:t>
      </w:r>
      <w:r w:rsidRPr="00F37118">
        <w:rPr>
          <w:vertAlign w:val="superscript"/>
        </w:rPr>
        <w:t>(35)</w:t>
      </w:r>
      <w:r>
        <w:br w:type="page"/>
      </w:r>
    </w:p>
    <w:p w14:paraId="63CDA73B" w14:textId="77777777" w:rsidR="005F3B67" w:rsidRDefault="003A10B9" w:rsidP="005C1881">
      <w:pPr>
        <w:pStyle w:val="Heading2"/>
      </w:pPr>
      <w:bookmarkStart w:id="45" w:name="_Toc171501588"/>
      <w:bookmarkStart w:id="46" w:name="_Toc171511277"/>
      <w:r>
        <w:lastRenderedPageBreak/>
        <w:t>Health</w:t>
      </w:r>
      <w:bookmarkEnd w:id="45"/>
      <w:bookmarkEnd w:id="46"/>
    </w:p>
    <w:p w14:paraId="21FF2102" w14:textId="218AC5A9" w:rsidR="003A10B9" w:rsidRDefault="003A10B9" w:rsidP="005C1881">
      <w:pPr>
        <w:pStyle w:val="Heading3"/>
      </w:pPr>
      <w:bookmarkStart w:id="47" w:name="_Toc171501589"/>
      <w:r>
        <w:t>Why is this important for women and girls?</w:t>
      </w:r>
      <w:bookmarkEnd w:id="47"/>
      <w:r>
        <w:t xml:space="preserve"> </w:t>
      </w:r>
    </w:p>
    <w:p w14:paraId="53A21CAC" w14:textId="77777777" w:rsidR="003A10B9" w:rsidRDefault="003A10B9" w:rsidP="00602FE5">
      <w:r>
        <w:t>Health is influenced by a range of social determinants such as where a person is born, lives, works, and their access to services.</w:t>
      </w:r>
    </w:p>
    <w:p w14:paraId="0D32CF40" w14:textId="77777777" w:rsidR="003A10B9" w:rsidRDefault="003A10B9" w:rsidP="00602FE5">
      <w:r>
        <w:t>Achieving gender equality involves providing men and women with universal access to health services and the necessary supports to maintain a healthy life.</w:t>
      </w:r>
    </w:p>
    <w:p w14:paraId="714578C7" w14:textId="77777777" w:rsidR="003A10B9" w:rsidRDefault="003A10B9" w:rsidP="00602FE5">
      <w:r>
        <w:t>For women, this includes being able to access support for health issues they may encounter over their lifetime including reproductive health, menopause and menstruation.</w:t>
      </w:r>
    </w:p>
    <w:p w14:paraId="01074B99" w14:textId="77777777" w:rsidR="005F3B67" w:rsidRDefault="003A10B9" w:rsidP="00602FE5">
      <w:r>
        <w:t>Women are more likely than men to have at least one chronic health condition, are at greater risk than men of developing mental illness and are more likely to seek professional support for their mental health.</w:t>
      </w:r>
    </w:p>
    <w:p w14:paraId="556352D9" w14:textId="3340AD4B" w:rsidR="003A10B9" w:rsidRDefault="00075B2C" w:rsidP="00CA3ADF">
      <w:pPr>
        <w:pStyle w:val="Heading4"/>
        <w:pBdr>
          <w:top w:val="single" w:sz="36" w:space="6" w:color="B58DD3"/>
          <w:left w:val="single" w:sz="36" w:space="6" w:color="B58DD3"/>
          <w:bottom w:val="single" w:sz="36" w:space="6" w:color="B58DD3"/>
          <w:right w:val="single" w:sz="36" w:space="6" w:color="B58DD3"/>
        </w:pBdr>
      </w:pPr>
      <w:r>
        <w:t>Quick Statistic</w:t>
      </w:r>
      <w:r w:rsidR="003A10B9">
        <w:t>: Mental health disorders and chronic conditions</w:t>
      </w:r>
    </w:p>
    <w:p w14:paraId="518D45FD" w14:textId="6A74BDAB" w:rsidR="005F3B67" w:rsidRDefault="003A10B9" w:rsidP="00CA3ADF">
      <w:pPr>
        <w:pBdr>
          <w:top w:val="single" w:sz="36" w:space="6" w:color="B58DD3"/>
          <w:left w:val="single" w:sz="36" w:space="6" w:color="B58DD3"/>
          <w:bottom w:val="single" w:sz="36" w:space="6" w:color="B58DD3"/>
          <w:right w:val="single" w:sz="36" w:space="6" w:color="B58DD3"/>
        </w:pBdr>
      </w:pPr>
      <w:r>
        <w:t xml:space="preserve">Women (51.1%) with a 12-month mental health disorder are more likely to have seen a mental health profession than men (36.4%) </w:t>
      </w:r>
      <w:r w:rsidRPr="005B38C9">
        <w:rPr>
          <w:vertAlign w:val="superscript"/>
        </w:rPr>
        <w:t>(37)</w:t>
      </w:r>
      <w:r>
        <w:t>.</w:t>
      </w:r>
      <w:r w:rsidR="007A4D18">
        <w:t xml:space="preserve"> </w:t>
      </w:r>
      <w:r>
        <w:t>Of those aged 16</w:t>
      </w:r>
      <w:r w:rsidR="005B38C9">
        <w:t xml:space="preserve"> to </w:t>
      </w:r>
      <w:r>
        <w:t>85 experiencing a mental health disorder in the past year, 24.6% are women and 18.8% are men</w:t>
      </w:r>
      <w:r w:rsidRPr="005B38C9">
        <w:rPr>
          <w:vertAlign w:val="superscript"/>
        </w:rPr>
        <w:t xml:space="preserve"> (38)</w:t>
      </w:r>
      <w:r>
        <w:t>. In 2022, the likelihood of having at least one chronic health condition was 53.2%</w:t>
      </w:r>
      <w:r w:rsidR="00754A9F">
        <w:t xml:space="preserve"> for women and </w:t>
      </w:r>
      <w:r>
        <w:t>47.4%</w:t>
      </w:r>
      <w:r w:rsidR="00754A9F">
        <w:t xml:space="preserve"> for men</w:t>
      </w:r>
      <w:r>
        <w:t xml:space="preserve"> </w:t>
      </w:r>
      <w:r w:rsidRPr="005B38C9">
        <w:rPr>
          <w:vertAlign w:val="superscript"/>
        </w:rPr>
        <w:t>(39)</w:t>
      </w:r>
      <w:r>
        <w:t xml:space="preserve">. </w:t>
      </w:r>
    </w:p>
    <w:p w14:paraId="000BE538" w14:textId="467A0136" w:rsidR="003A10B9" w:rsidRDefault="003A10B9" w:rsidP="005C1881">
      <w:pPr>
        <w:pStyle w:val="Heading3"/>
      </w:pPr>
      <w:bookmarkStart w:id="48" w:name="_Toc171501590"/>
      <w:r>
        <w:t>Contributing 2024</w:t>
      </w:r>
      <w:r w:rsidR="00620C20">
        <w:t>–</w:t>
      </w:r>
      <w:r>
        <w:t>2025 budget measures</w:t>
      </w:r>
      <w:bookmarkEnd w:id="48"/>
    </w:p>
    <w:p w14:paraId="63654EBD" w14:textId="77777777" w:rsidR="003A10B9" w:rsidRDefault="003A10B9" w:rsidP="00602FE5">
      <w:pPr>
        <w:pStyle w:val="Bullet"/>
      </w:pPr>
      <w:r>
        <w:t>$5 million over four years to support youth mental health services, including an expansion of child and adolescent virtual urgent care services, mental health workshops, and to support carers and families of those with eating disorders.</w:t>
      </w:r>
    </w:p>
    <w:p w14:paraId="22C764DB" w14:textId="77777777" w:rsidR="005F3B67" w:rsidRDefault="00572B45" w:rsidP="00602FE5">
      <w:pPr>
        <w:pStyle w:val="Bullet"/>
      </w:pPr>
      <w:r>
        <w:t xml:space="preserve">Delivering on the </w:t>
      </w:r>
      <w:r w:rsidR="003A10B9">
        <w:t>$3.2 billion (including $1.7 billion up to 2027–28) for the new Women’s and Children’s Hospital</w:t>
      </w:r>
      <w:r w:rsidR="00D96DC4">
        <w:t>, including c</w:t>
      </w:r>
      <w:r w:rsidR="003A10B9">
        <w:t>ontinued support for the SA Health Women’s Health Service.</w:t>
      </w:r>
    </w:p>
    <w:p w14:paraId="2B42FE65" w14:textId="7B5263B1" w:rsidR="003A10B9" w:rsidRDefault="003A10B9" w:rsidP="005C1881">
      <w:pPr>
        <w:pStyle w:val="Heading3"/>
      </w:pPr>
      <w:bookmarkStart w:id="49" w:name="_Toc171501591"/>
      <w:r>
        <w:t>Impact for women and girls</w:t>
      </w:r>
      <w:bookmarkEnd w:id="49"/>
    </w:p>
    <w:p w14:paraId="442641EE" w14:textId="77777777" w:rsidR="003A10B9" w:rsidRDefault="003A10B9" w:rsidP="00602FE5">
      <w:r>
        <w:t>Support for youth mental health services will increase access for girls to quality care to prevent and support girls experiencing mental illness.</w:t>
      </w:r>
    </w:p>
    <w:p w14:paraId="0ABC2E1E" w14:textId="3C8327A3" w:rsidR="003A10B9" w:rsidRDefault="003A10B9" w:rsidP="00602FE5">
      <w:r>
        <w:t>The new Women’s and Children’s Hospital will enable high quality care for women’s reproductive health and ensure girls in South Australia have access to a world</w:t>
      </w:r>
      <w:r w:rsidR="00151301">
        <w:t>-</w:t>
      </w:r>
      <w:r>
        <w:t>class medical facility.</w:t>
      </w:r>
    </w:p>
    <w:p w14:paraId="4DEC81E4" w14:textId="6B6D50FD" w:rsidR="00F3310B" w:rsidRDefault="003A10B9" w:rsidP="00602FE5">
      <w:r>
        <w:t>Women’s Health Services are vital to meeting the specific needs of women, providing health checks, counselling, support groups, and information, as well as specific services for</w:t>
      </w:r>
      <w:r w:rsidR="00F3310B">
        <w:t>:</w:t>
      </w:r>
    </w:p>
    <w:p w14:paraId="67FBD506" w14:textId="41AE1D48" w:rsidR="00F3310B" w:rsidRDefault="003A10B9" w:rsidP="00602FE5">
      <w:pPr>
        <w:pStyle w:val="Bullet"/>
      </w:pPr>
      <w:r>
        <w:t>First Nations women</w:t>
      </w:r>
    </w:p>
    <w:p w14:paraId="15662120" w14:textId="72D276CC" w:rsidR="00F3310B" w:rsidRDefault="003A10B9" w:rsidP="00602FE5">
      <w:pPr>
        <w:pStyle w:val="Bullet"/>
      </w:pPr>
      <w:r>
        <w:t>migrant and newly arrived women</w:t>
      </w:r>
    </w:p>
    <w:p w14:paraId="2A9C46A3" w14:textId="0E3B6F9C" w:rsidR="003A10B9" w:rsidRDefault="003A10B9" w:rsidP="003F6102">
      <w:pPr>
        <w:pStyle w:val="Bullet"/>
      </w:pPr>
      <w:r>
        <w:t>women who have experienced violence and abuse.</w:t>
      </w:r>
      <w:r>
        <w:br w:type="page"/>
      </w:r>
    </w:p>
    <w:p w14:paraId="26FA90EA" w14:textId="77777777" w:rsidR="005F3B67" w:rsidRDefault="003A10B9" w:rsidP="005C1881">
      <w:pPr>
        <w:pStyle w:val="Heading2"/>
      </w:pPr>
      <w:bookmarkStart w:id="50" w:name="_Toc171501592"/>
      <w:bookmarkStart w:id="51" w:name="_Toc171511278"/>
      <w:r>
        <w:lastRenderedPageBreak/>
        <w:t>References</w:t>
      </w:r>
      <w:bookmarkEnd w:id="50"/>
      <w:bookmarkEnd w:id="51"/>
    </w:p>
    <w:p w14:paraId="01A0064C" w14:textId="2C8C8C99" w:rsidR="003A10B9" w:rsidRDefault="003A10B9" w:rsidP="005C1881">
      <w:pPr>
        <w:pStyle w:val="Heading3"/>
      </w:pPr>
      <w:bookmarkStart w:id="52" w:name="_Toc171501593"/>
      <w:r>
        <w:t>Safety and Security</w:t>
      </w:r>
      <w:bookmarkEnd w:id="52"/>
    </w:p>
    <w:p w14:paraId="731E332D" w14:textId="77777777" w:rsidR="003A10B9" w:rsidRPr="00CA0BF4" w:rsidRDefault="003A10B9" w:rsidP="00CA0BF4">
      <w:pPr>
        <w:pStyle w:val="References"/>
      </w:pPr>
      <w:r w:rsidRPr="00CA0BF4">
        <w:t>1.</w:t>
      </w:r>
      <w:r w:rsidRPr="00CA0BF4">
        <w:tab/>
        <w:t>Australian Bureau of Statistics (ABS) 2021–22 Personal Safety Survey (March 2023).</w:t>
      </w:r>
    </w:p>
    <w:p w14:paraId="689E2D92" w14:textId="140F0D86" w:rsidR="003A10B9" w:rsidRPr="00CA0BF4" w:rsidRDefault="00683272" w:rsidP="00CA0BF4">
      <w:pPr>
        <w:pStyle w:val="References"/>
      </w:pPr>
      <w:r w:rsidRPr="00CA0BF4">
        <w:tab/>
      </w:r>
      <w:hyperlink r:id="rId16" w:history="1">
        <w:r w:rsidR="00CA0BF4" w:rsidRPr="00A61652">
          <w:rPr>
            <w:rStyle w:val="Hyperlink"/>
          </w:rPr>
          <w:t>https://www.abs.gov.au/statistics/people/crime-and-justice/personal-safety-australia/2021-22</w:t>
        </w:r>
      </w:hyperlink>
      <w:r w:rsidR="00643E29">
        <w:t xml:space="preserve"> </w:t>
      </w:r>
    </w:p>
    <w:p w14:paraId="3CDD3AD2" w14:textId="5A7A456F" w:rsidR="00683272" w:rsidRDefault="003A10B9" w:rsidP="00CA0BF4">
      <w:pPr>
        <w:pStyle w:val="References"/>
      </w:pPr>
      <w:r>
        <w:t>2.</w:t>
      </w:r>
      <w:r>
        <w:tab/>
        <w:t>Australian Bureau of Statistics (ABS) Recorded Crime—Victims (2021).</w:t>
      </w:r>
    </w:p>
    <w:p w14:paraId="174738E5" w14:textId="0592071E" w:rsidR="003A10B9" w:rsidRDefault="00683272" w:rsidP="00CA0BF4">
      <w:pPr>
        <w:pStyle w:val="References"/>
      </w:pPr>
      <w:r>
        <w:tab/>
      </w:r>
      <w:hyperlink r:id="rId17" w:history="1">
        <w:r w:rsidR="0058391E">
          <w:rPr>
            <w:rStyle w:val="Hyperlink"/>
          </w:rPr>
          <w:t>https://www.abs.gov.au/statistics/people/crime-and-justic</w:t>
        </w:r>
        <w:r w:rsidR="0058391E">
          <w:rPr>
            <w:rStyle w:val="Hyperlink"/>
          </w:rPr>
          <w:t>e</w:t>
        </w:r>
        <w:r w:rsidR="0058391E">
          <w:rPr>
            <w:rStyle w:val="Hyperlink"/>
          </w:rPr>
          <w:t>/recorded-crime-victims/2021</w:t>
        </w:r>
      </w:hyperlink>
      <w:r w:rsidR="00687CCF">
        <w:t xml:space="preserve"> </w:t>
      </w:r>
    </w:p>
    <w:p w14:paraId="225E7086" w14:textId="77777777" w:rsidR="003A10B9" w:rsidRDefault="003A10B9" w:rsidP="00CA0BF4">
      <w:pPr>
        <w:pStyle w:val="References"/>
      </w:pPr>
      <w:r>
        <w:t>3.</w:t>
      </w:r>
      <w:r>
        <w:tab/>
        <w:t>Australian Broadcasting Commission (ABC) News. ‘Another murder charge laid after four women killed in South Australia in past week’.</w:t>
      </w:r>
    </w:p>
    <w:p w14:paraId="1C0F9B86" w14:textId="57EB8962" w:rsidR="003A10B9" w:rsidRDefault="00683272" w:rsidP="00CA0BF4">
      <w:pPr>
        <w:pStyle w:val="References"/>
      </w:pPr>
      <w:r>
        <w:tab/>
      </w:r>
      <w:hyperlink r:id="rId18" w:history="1">
        <w:r w:rsidR="00485C8D" w:rsidRPr="00A61652">
          <w:rPr>
            <w:rStyle w:val="Hyperlink"/>
          </w:rPr>
          <w:t>https://www.abc.net.au/news/2023-11-22/feli</w:t>
        </w:r>
        <w:r w:rsidR="00485C8D" w:rsidRPr="00A61652">
          <w:rPr>
            <w:rStyle w:val="Hyperlink"/>
          </w:rPr>
          <w:t>x</w:t>
        </w:r>
        <w:r w:rsidR="00485C8D" w:rsidRPr="00A61652">
          <w:rPr>
            <w:rStyle w:val="Hyperlink"/>
          </w:rPr>
          <w:t>stow-murder-charge-laid-as-police-investigate-womens-deaths/103135096</w:t>
        </w:r>
      </w:hyperlink>
      <w:r w:rsidR="00485C8D">
        <w:t xml:space="preserve"> </w:t>
      </w:r>
      <w:r w:rsidR="003A10B9">
        <w:t>Posted 22/11/23 — Accessed 20/06/24.</w:t>
      </w:r>
    </w:p>
    <w:p w14:paraId="1DCE2B2A" w14:textId="77777777" w:rsidR="003A10B9" w:rsidRDefault="003A10B9" w:rsidP="00CA0BF4">
      <w:pPr>
        <w:pStyle w:val="References"/>
      </w:pPr>
      <w:r>
        <w:t>4.</w:t>
      </w:r>
      <w:r>
        <w:tab/>
        <w:t>Australian Bureau of Statistics (ABS) 2021–22 Personal Safety Survey (March 2023).</w:t>
      </w:r>
    </w:p>
    <w:p w14:paraId="095AA8AD" w14:textId="200269EF" w:rsidR="003A10B9" w:rsidRDefault="00683272" w:rsidP="00CA0BF4">
      <w:pPr>
        <w:pStyle w:val="References"/>
      </w:pPr>
      <w:r>
        <w:tab/>
      </w:r>
      <w:hyperlink r:id="rId19" w:history="1">
        <w:r w:rsidR="00485C8D" w:rsidRPr="00A61652">
          <w:rPr>
            <w:rStyle w:val="Hyperlink"/>
          </w:rPr>
          <w:t>https://www.abs.gov.au/statistics/people/crime-and-justice/personal-safety-australia/2021-22</w:t>
        </w:r>
      </w:hyperlink>
      <w:r w:rsidR="00485C8D">
        <w:t xml:space="preserve"> </w:t>
      </w:r>
    </w:p>
    <w:p w14:paraId="7605B416" w14:textId="77777777" w:rsidR="003A10B9" w:rsidRDefault="003A10B9" w:rsidP="00CA0BF4">
      <w:pPr>
        <w:pStyle w:val="References"/>
      </w:pPr>
      <w:r>
        <w:t>5.</w:t>
      </w:r>
      <w:r>
        <w:tab/>
        <w:t>2021 National Community Attitudes towards Violence against Women Survey (NCAS).</w:t>
      </w:r>
    </w:p>
    <w:p w14:paraId="53DA9585" w14:textId="44C52AC5" w:rsidR="003A10B9" w:rsidRDefault="00683272" w:rsidP="00CA0BF4">
      <w:pPr>
        <w:pStyle w:val="References"/>
      </w:pPr>
      <w:r>
        <w:tab/>
      </w:r>
      <w:hyperlink r:id="rId20" w:history="1">
        <w:r w:rsidR="00485C8D" w:rsidRPr="00A61652">
          <w:rPr>
            <w:rStyle w:val="Hyperlink"/>
          </w:rPr>
          <w:t>https://www.ncas.au/findings-from-the-nmesc-report</w:t>
        </w:r>
      </w:hyperlink>
      <w:r w:rsidR="00485C8D">
        <w:t xml:space="preserve"> </w:t>
      </w:r>
      <w:r w:rsidR="003A10B9">
        <w:t>— Accessed 19/06/24.</w:t>
      </w:r>
    </w:p>
    <w:p w14:paraId="03A6EDF4" w14:textId="361B0DE9" w:rsidR="003A10B9" w:rsidRDefault="003A10B9" w:rsidP="00CA0BF4">
      <w:pPr>
        <w:pStyle w:val="References"/>
      </w:pPr>
      <w:r>
        <w:t>6.</w:t>
      </w:r>
      <w:r>
        <w:tab/>
        <w:t>National Plan to End Violence Against Women and Children 2022</w:t>
      </w:r>
      <w:r w:rsidR="00151301">
        <w:t>–</w:t>
      </w:r>
      <w:r>
        <w:t>2032. (2022).</w:t>
      </w:r>
    </w:p>
    <w:p w14:paraId="36036CED" w14:textId="6391A59F" w:rsidR="003A10B9" w:rsidRDefault="00683272" w:rsidP="00CA0BF4">
      <w:pPr>
        <w:pStyle w:val="References"/>
      </w:pPr>
      <w:r>
        <w:tab/>
      </w:r>
      <w:hyperlink r:id="rId21" w:history="1">
        <w:r w:rsidR="00ED5963" w:rsidRPr="00A61652">
          <w:rPr>
            <w:rStyle w:val="Hyperlink"/>
          </w:rPr>
          <w:t>https://www.dss.gov.au/the-national-plan-to-end-violence-against-women-and-children/the-national-plan-to-end-violence-again</w:t>
        </w:r>
        <w:r w:rsidR="00ED5963" w:rsidRPr="00A61652">
          <w:rPr>
            <w:rStyle w:val="Hyperlink"/>
          </w:rPr>
          <w:t>s</w:t>
        </w:r>
        <w:r w:rsidR="00ED5963" w:rsidRPr="00A61652">
          <w:rPr>
            <w:rStyle w:val="Hyperlink"/>
          </w:rPr>
          <w:t>t-women-and-children-2022-2032</w:t>
        </w:r>
      </w:hyperlink>
      <w:r w:rsidR="00ED5963">
        <w:t xml:space="preserve"> </w:t>
      </w:r>
      <w:r w:rsidR="003A10B9">
        <w:t>— Accessed 19/06/24</w:t>
      </w:r>
    </w:p>
    <w:p w14:paraId="3C769E48" w14:textId="77777777" w:rsidR="003A10B9" w:rsidRDefault="003A10B9" w:rsidP="00CA0BF4">
      <w:pPr>
        <w:pStyle w:val="References"/>
      </w:pPr>
      <w:r>
        <w:t>7.</w:t>
      </w:r>
      <w:r>
        <w:tab/>
        <w:t>Australian Bureau of Statistics (ABS) 2021–22 Personal Safety Survey (March 2023).</w:t>
      </w:r>
    </w:p>
    <w:p w14:paraId="65DE1980" w14:textId="226D460F" w:rsidR="005F3B67" w:rsidRDefault="00683272" w:rsidP="00CA0BF4">
      <w:pPr>
        <w:pStyle w:val="References"/>
      </w:pPr>
      <w:r>
        <w:tab/>
      </w:r>
      <w:hyperlink r:id="rId22" w:history="1">
        <w:r w:rsidR="00797395" w:rsidRPr="00A61652">
          <w:rPr>
            <w:rStyle w:val="Hyperlink"/>
          </w:rPr>
          <w:t>https://www.abs.gov.au/statistics/people/crime-and-justice/personal-safety-australia/2021-22</w:t>
        </w:r>
      </w:hyperlink>
      <w:r w:rsidR="00797395">
        <w:t xml:space="preserve"> </w:t>
      </w:r>
    </w:p>
    <w:p w14:paraId="0CDBE90D" w14:textId="649C93C7" w:rsidR="003A10B9" w:rsidRDefault="003A10B9" w:rsidP="005C1881">
      <w:pPr>
        <w:pStyle w:val="Heading3"/>
      </w:pPr>
      <w:bookmarkStart w:id="53" w:name="_Toc171501594"/>
      <w:r>
        <w:t>Housing and Homelessness</w:t>
      </w:r>
      <w:bookmarkEnd w:id="53"/>
    </w:p>
    <w:p w14:paraId="6B885709" w14:textId="77777777" w:rsidR="003A10B9" w:rsidRDefault="003A10B9" w:rsidP="00CA0BF4">
      <w:pPr>
        <w:pStyle w:val="References"/>
      </w:pPr>
      <w:r>
        <w:t>8.</w:t>
      </w:r>
      <w:r>
        <w:tab/>
        <w:t>Australian Housing and Urban Research Institute. (AHURI) ‘What are the real costs of Australia’s housing crisis for women?’ (7 November 2024).</w:t>
      </w:r>
    </w:p>
    <w:p w14:paraId="687FE0C3" w14:textId="788C2E4F" w:rsidR="003A10B9" w:rsidRDefault="00D860FD" w:rsidP="00CA0BF4">
      <w:pPr>
        <w:pStyle w:val="References"/>
      </w:pPr>
      <w:r>
        <w:tab/>
      </w:r>
      <w:hyperlink r:id="rId23" w:history="1">
        <w:r w:rsidRPr="00A61652">
          <w:rPr>
            <w:rStyle w:val="Hyperlink"/>
          </w:rPr>
          <w:t>https://www.ahuri.edu.au/analysi</w:t>
        </w:r>
        <w:r w:rsidRPr="00A61652">
          <w:rPr>
            <w:rStyle w:val="Hyperlink"/>
          </w:rPr>
          <w:t>s</w:t>
        </w:r>
        <w:r w:rsidRPr="00A61652">
          <w:rPr>
            <w:rStyle w:val="Hyperlink"/>
          </w:rPr>
          <w:t>/brief/what-are-real-costs-australias-housing-crisis-women</w:t>
        </w:r>
      </w:hyperlink>
      <w:r w:rsidR="00A61E71">
        <w:t xml:space="preserve"> </w:t>
      </w:r>
      <w:r w:rsidR="003A10B9">
        <w:t>— Accessed 19/06/24.</w:t>
      </w:r>
    </w:p>
    <w:p w14:paraId="0CDE99A5" w14:textId="77777777" w:rsidR="003A10B9" w:rsidRDefault="003A10B9" w:rsidP="00CA0BF4">
      <w:pPr>
        <w:pStyle w:val="References"/>
      </w:pPr>
      <w:r>
        <w:t>9.</w:t>
      </w:r>
      <w:r>
        <w:tab/>
        <w:t>Australian Institute of Health and Welfare, ‘Family, domestic and sexual violence: Housing’, (2024).</w:t>
      </w:r>
    </w:p>
    <w:p w14:paraId="52B90BA2" w14:textId="6EC9CAE0" w:rsidR="003A10B9" w:rsidRDefault="00D860FD" w:rsidP="00CA0BF4">
      <w:pPr>
        <w:pStyle w:val="References"/>
      </w:pPr>
      <w:r>
        <w:tab/>
      </w:r>
      <w:hyperlink r:id="rId24" w:history="1">
        <w:r w:rsidRPr="00A61652">
          <w:rPr>
            <w:rStyle w:val="Hyperlink"/>
          </w:rPr>
          <w:t>https://www.aihw.gov.au/family-domestic-and-sexual-violence/responses-and-outcomes/housing</w:t>
        </w:r>
      </w:hyperlink>
      <w:r w:rsidR="0086551B">
        <w:t xml:space="preserve"> </w:t>
      </w:r>
      <w:r w:rsidR="003A10B9">
        <w:t>— Accessed 19/06/24.</w:t>
      </w:r>
    </w:p>
    <w:p w14:paraId="200024A3" w14:textId="77777777" w:rsidR="003A10B9" w:rsidRDefault="003A10B9" w:rsidP="00CA0BF4">
      <w:pPr>
        <w:pStyle w:val="References"/>
      </w:pPr>
      <w:r>
        <w:t>10.</w:t>
      </w:r>
      <w:r>
        <w:tab/>
        <w:t>National Plan to End Violence Against Women and Children 2022–2032. (2022).</w:t>
      </w:r>
    </w:p>
    <w:p w14:paraId="408A5270" w14:textId="65587867" w:rsidR="003A10B9" w:rsidRDefault="00D860FD" w:rsidP="00CA0BF4">
      <w:pPr>
        <w:pStyle w:val="References"/>
      </w:pPr>
      <w:r>
        <w:lastRenderedPageBreak/>
        <w:tab/>
      </w:r>
      <w:hyperlink r:id="rId25" w:history="1">
        <w:r w:rsidR="00566032" w:rsidRPr="00A61652">
          <w:rPr>
            <w:rStyle w:val="Hyperlink"/>
          </w:rPr>
          <w:t>https://www.dss.gov.au/the-national-plan-to-end-violence-against-women-and-children/the-national-plan-to-e</w:t>
        </w:r>
        <w:r w:rsidR="00566032" w:rsidRPr="00A61652">
          <w:rPr>
            <w:rStyle w:val="Hyperlink"/>
          </w:rPr>
          <w:t>n</w:t>
        </w:r>
        <w:r w:rsidR="00566032" w:rsidRPr="00A61652">
          <w:rPr>
            <w:rStyle w:val="Hyperlink"/>
          </w:rPr>
          <w:t>d-violence-against-women-and-children-2022-2032</w:t>
        </w:r>
      </w:hyperlink>
      <w:r w:rsidR="00643E29">
        <w:t xml:space="preserve"> </w:t>
      </w:r>
      <w:r w:rsidR="003A10B9">
        <w:t>— Accessed 19/06/24.</w:t>
      </w:r>
    </w:p>
    <w:p w14:paraId="158968A2" w14:textId="77777777" w:rsidR="003A10B9" w:rsidRDefault="003A10B9" w:rsidP="00CA0BF4">
      <w:pPr>
        <w:pStyle w:val="References"/>
      </w:pPr>
      <w:r>
        <w:t>11.</w:t>
      </w:r>
      <w:r>
        <w:tab/>
        <w:t>Australian Institute of Health and Welfare, ‘Family, domestic and sexual violence: Housing’, (2024).</w:t>
      </w:r>
    </w:p>
    <w:p w14:paraId="537FCF70" w14:textId="75463142" w:rsidR="003A10B9" w:rsidRDefault="00583CA6" w:rsidP="00CA0BF4">
      <w:pPr>
        <w:pStyle w:val="References"/>
      </w:pPr>
      <w:r>
        <w:tab/>
      </w:r>
      <w:hyperlink r:id="rId26" w:history="1">
        <w:r w:rsidRPr="00A61652">
          <w:rPr>
            <w:rStyle w:val="Hyperlink"/>
          </w:rPr>
          <w:t>https://www.aihw.gov.</w:t>
        </w:r>
        <w:r w:rsidRPr="00A61652">
          <w:rPr>
            <w:rStyle w:val="Hyperlink"/>
          </w:rPr>
          <w:t>a</w:t>
        </w:r>
        <w:r w:rsidRPr="00A61652">
          <w:rPr>
            <w:rStyle w:val="Hyperlink"/>
          </w:rPr>
          <w:t>u/family-domestic-and-sexual-violence/responses-and-outcomes/housing</w:t>
        </w:r>
      </w:hyperlink>
      <w:r w:rsidR="00643E29">
        <w:t xml:space="preserve"> </w:t>
      </w:r>
      <w:r w:rsidR="003A10B9">
        <w:t>— Accessed 19/06/24.</w:t>
      </w:r>
    </w:p>
    <w:p w14:paraId="6945EB8E" w14:textId="7D5ACDDD" w:rsidR="003A10B9" w:rsidRDefault="003A10B9" w:rsidP="00CA0BF4">
      <w:pPr>
        <w:pStyle w:val="References"/>
      </w:pPr>
      <w:r>
        <w:t>12.</w:t>
      </w:r>
      <w:r>
        <w:tab/>
        <w:t>National Plan to End Violence Against Women and Children 2022</w:t>
      </w:r>
      <w:r w:rsidR="00151301">
        <w:t>–</w:t>
      </w:r>
      <w:r>
        <w:t>2032. (2022).</w:t>
      </w:r>
    </w:p>
    <w:p w14:paraId="28CD1376" w14:textId="139F1B07" w:rsidR="005F3B67" w:rsidRDefault="00583CA6" w:rsidP="00CA0BF4">
      <w:pPr>
        <w:pStyle w:val="References"/>
      </w:pPr>
      <w:r>
        <w:tab/>
      </w:r>
      <w:hyperlink r:id="rId27" w:history="1">
        <w:r w:rsidR="006F3ECF" w:rsidRPr="00A61652">
          <w:rPr>
            <w:rStyle w:val="Hyperlink"/>
          </w:rPr>
          <w:t>https://www.dss.gov.au/the-national-plan-to-end-violence-against-women-and-children/the-national-plan-to-end-violence-against-wome</w:t>
        </w:r>
        <w:r w:rsidR="006F3ECF" w:rsidRPr="00A61652">
          <w:rPr>
            <w:rStyle w:val="Hyperlink"/>
          </w:rPr>
          <w:t>n</w:t>
        </w:r>
        <w:r w:rsidR="006F3ECF" w:rsidRPr="00A61652">
          <w:rPr>
            <w:rStyle w:val="Hyperlink"/>
          </w:rPr>
          <w:t>-and-children-2022-2032</w:t>
        </w:r>
      </w:hyperlink>
      <w:r w:rsidR="006F3ECF">
        <w:t xml:space="preserve"> </w:t>
      </w:r>
      <w:r w:rsidR="003A10B9">
        <w:t>p. 39 — Accessed 19/06/24.</w:t>
      </w:r>
    </w:p>
    <w:p w14:paraId="0F44FADA" w14:textId="48844430" w:rsidR="003A10B9" w:rsidRDefault="003A10B9" w:rsidP="005C1881">
      <w:pPr>
        <w:pStyle w:val="Heading3"/>
      </w:pPr>
      <w:bookmarkStart w:id="54" w:name="_Toc171501595"/>
      <w:r>
        <w:t>Cost of living</w:t>
      </w:r>
      <w:bookmarkEnd w:id="54"/>
    </w:p>
    <w:p w14:paraId="5E797036" w14:textId="7F7D8118" w:rsidR="00DD0E3A" w:rsidRDefault="003A10B9" w:rsidP="00CA0BF4">
      <w:pPr>
        <w:pStyle w:val="References"/>
      </w:pPr>
      <w:r>
        <w:t>13.</w:t>
      </w:r>
      <w:r>
        <w:tab/>
        <w:t>Australian Bureau of Statistics (ABS) ‘Gender indicators’.</w:t>
      </w:r>
    </w:p>
    <w:p w14:paraId="64584965" w14:textId="7F478EE3" w:rsidR="003A10B9" w:rsidRDefault="00583CA6" w:rsidP="00CA0BF4">
      <w:pPr>
        <w:pStyle w:val="References"/>
      </w:pPr>
      <w:r>
        <w:tab/>
      </w:r>
      <w:hyperlink r:id="rId28" w:history="1">
        <w:r w:rsidRPr="00A61652">
          <w:rPr>
            <w:rStyle w:val="Hyperlink"/>
          </w:rPr>
          <w:t>https://www</w:t>
        </w:r>
        <w:r w:rsidRPr="00A61652">
          <w:rPr>
            <w:rStyle w:val="Hyperlink"/>
          </w:rPr>
          <w:t>.</w:t>
        </w:r>
        <w:r w:rsidRPr="00A61652">
          <w:rPr>
            <w:rStyle w:val="Hyperlink"/>
          </w:rPr>
          <w:t>abs.gov.au/statistics/people/people-and-communities/gender-indicators</w:t>
        </w:r>
      </w:hyperlink>
    </w:p>
    <w:p w14:paraId="2A049D7B" w14:textId="77777777" w:rsidR="003A10B9" w:rsidRDefault="003A10B9" w:rsidP="00CA0BF4">
      <w:pPr>
        <w:pStyle w:val="References"/>
      </w:pPr>
      <w:r>
        <w:t>14.</w:t>
      </w:r>
      <w:r>
        <w:tab/>
        <w:t>Australian Bureau of Statistics (ABS) Labour Force Status of Families (June 2023).</w:t>
      </w:r>
    </w:p>
    <w:p w14:paraId="0E1A3FD8" w14:textId="4BC597A2" w:rsidR="003A10B9" w:rsidRDefault="00583CA6" w:rsidP="00CA0BF4">
      <w:pPr>
        <w:pStyle w:val="References"/>
      </w:pPr>
      <w:r>
        <w:tab/>
      </w:r>
      <w:hyperlink r:id="rId29" w:history="1">
        <w:r w:rsidRPr="00A61652">
          <w:rPr>
            <w:rStyle w:val="Hyperlink"/>
          </w:rPr>
          <w:t>https://w</w:t>
        </w:r>
        <w:r w:rsidRPr="00A61652">
          <w:rPr>
            <w:rStyle w:val="Hyperlink"/>
          </w:rPr>
          <w:t>w</w:t>
        </w:r>
        <w:r w:rsidRPr="00A61652">
          <w:rPr>
            <w:rStyle w:val="Hyperlink"/>
          </w:rPr>
          <w:t>w.abs.gov.au/statistics/labour/employment-and-unemployment/labour-force-status-families/jun-2023</w:t>
        </w:r>
      </w:hyperlink>
      <w:r w:rsidR="00643E29">
        <w:t xml:space="preserve"> </w:t>
      </w:r>
    </w:p>
    <w:p w14:paraId="200FF1E0" w14:textId="288D41A0" w:rsidR="003A10B9" w:rsidRDefault="003A10B9" w:rsidP="00CA0BF4">
      <w:pPr>
        <w:pStyle w:val="References"/>
      </w:pPr>
      <w:r>
        <w:t>15.</w:t>
      </w:r>
      <w:r>
        <w:tab/>
        <w:t>Roy Morgan (2023), Single Source Survey.</w:t>
      </w:r>
    </w:p>
    <w:p w14:paraId="4BB9FDF3" w14:textId="47359F12" w:rsidR="00585665" w:rsidRDefault="004D771F" w:rsidP="00CA0BF4">
      <w:pPr>
        <w:pStyle w:val="References"/>
      </w:pPr>
      <w:r>
        <w:tab/>
      </w:r>
      <w:hyperlink r:id="rId30" w:history="1">
        <w:r w:rsidRPr="00A61652">
          <w:rPr>
            <w:rStyle w:val="Hyperlink"/>
          </w:rPr>
          <w:t>https://roymorgan-cms-dev.s3.ap-southeast-2.amazonaws.com/wp-content/uploads/2023/04/18044817/9203-Superannuation-Gender-Gap-Closing.pdf</w:t>
        </w:r>
      </w:hyperlink>
    </w:p>
    <w:p w14:paraId="1B79935E" w14:textId="31A42EDB" w:rsidR="003A10B9" w:rsidRDefault="003A10B9" w:rsidP="00CA0BF4">
      <w:pPr>
        <w:pStyle w:val="References"/>
      </w:pPr>
      <w:r>
        <w:t>16.</w:t>
      </w:r>
      <w:r>
        <w:tab/>
        <w:t>Australian Bureau of Statistics (ABS) Labour Force Status of Families (June 2023).</w:t>
      </w:r>
    </w:p>
    <w:p w14:paraId="205422D5" w14:textId="421CAAF0" w:rsidR="003E0F1C" w:rsidRDefault="004D771F" w:rsidP="00CA0BF4">
      <w:pPr>
        <w:pStyle w:val="References"/>
      </w:pPr>
      <w:r>
        <w:tab/>
      </w:r>
      <w:hyperlink r:id="rId31" w:history="1">
        <w:r w:rsidRPr="00A61652">
          <w:rPr>
            <w:rStyle w:val="Hyperlink"/>
          </w:rPr>
          <w:t>https://www.abs.gov.au/statistics/labour/employment-and-unemployment/labour-force-status-families/jun-2023</w:t>
        </w:r>
      </w:hyperlink>
    </w:p>
    <w:p w14:paraId="3F6EB8A4" w14:textId="49A010EF" w:rsidR="003E0F1C" w:rsidRPr="00583CA6" w:rsidRDefault="003A10B9" w:rsidP="00583CA6">
      <w:pPr>
        <w:pStyle w:val="References"/>
      </w:pPr>
      <w:r w:rsidRPr="00583CA6">
        <w:t>17.</w:t>
      </w:r>
      <w:r w:rsidRPr="00583CA6">
        <w:tab/>
        <w:t>Association of Super Funds Australia (2014),</w:t>
      </w:r>
      <w:r w:rsidR="003E0F1C" w:rsidRPr="00583CA6">
        <w:t xml:space="preserve"> </w:t>
      </w:r>
      <w:r w:rsidRPr="00583CA6">
        <w:t>‘An update on the level and distribution of retirement savings’</w:t>
      </w:r>
    </w:p>
    <w:p w14:paraId="1A1EB9E2" w14:textId="5F898C48" w:rsidR="003A10B9" w:rsidRPr="00583CA6" w:rsidRDefault="00583CA6" w:rsidP="00583CA6">
      <w:pPr>
        <w:pStyle w:val="References"/>
      </w:pPr>
      <w:r w:rsidRPr="00583CA6">
        <w:tab/>
      </w:r>
      <w:hyperlink r:id="rId32" w:history="1">
        <w:r w:rsidR="002643B0" w:rsidRPr="00A61652">
          <w:rPr>
            <w:rStyle w:val="Hyperlink"/>
          </w:rPr>
          <w:t>https://www.superannuation.asn.au/wp-content/uploads/2023/09/1403-LevelAndDistributionRetirementSavings.pdf</w:t>
        </w:r>
      </w:hyperlink>
      <w:r w:rsidR="002643B0">
        <w:t xml:space="preserve"> </w:t>
      </w:r>
    </w:p>
    <w:p w14:paraId="27CDCD9F" w14:textId="77777777" w:rsidR="003A10B9" w:rsidRDefault="003A10B9" w:rsidP="00CA0BF4">
      <w:pPr>
        <w:pStyle w:val="References"/>
      </w:pPr>
      <w:r>
        <w:t>18.</w:t>
      </w:r>
      <w:r>
        <w:tab/>
        <w:t>Association of Super Funds Australia (2014), ‘An update on the level and distribution of retirement savings’.</w:t>
      </w:r>
    </w:p>
    <w:p w14:paraId="1B7D1684" w14:textId="339D5A1C" w:rsidR="005F3B67" w:rsidRDefault="00583CA6" w:rsidP="00CA0BF4">
      <w:pPr>
        <w:pStyle w:val="References"/>
      </w:pPr>
      <w:r>
        <w:tab/>
      </w:r>
      <w:hyperlink r:id="rId33" w:history="1">
        <w:r w:rsidR="00A92AAD" w:rsidRPr="00A61652">
          <w:rPr>
            <w:rStyle w:val="Hyperlink"/>
          </w:rPr>
          <w:t>https://www.superannuation.asn.au/wp-content/uploads/2023/09/1403-LevelAndDistributionRetirementSavings.pdf</w:t>
        </w:r>
      </w:hyperlink>
      <w:r w:rsidR="00A92AAD">
        <w:t xml:space="preserve"> </w:t>
      </w:r>
    </w:p>
    <w:p w14:paraId="32572F8D" w14:textId="6AD8D555" w:rsidR="003A10B9" w:rsidRDefault="003A10B9" w:rsidP="00A92AAD">
      <w:pPr>
        <w:pStyle w:val="Heading3"/>
      </w:pPr>
      <w:bookmarkStart w:id="55" w:name="_Toc171501596"/>
      <w:r>
        <w:lastRenderedPageBreak/>
        <w:t>Early childhood services and support</w:t>
      </w:r>
      <w:bookmarkEnd w:id="55"/>
    </w:p>
    <w:p w14:paraId="55C80E36" w14:textId="3A157DE2" w:rsidR="003A10B9" w:rsidRDefault="003A10B9" w:rsidP="00A92AAD">
      <w:pPr>
        <w:pStyle w:val="References"/>
        <w:keepNext/>
        <w:ind w:left="425" w:hanging="425"/>
      </w:pPr>
      <w:r>
        <w:t>19.</w:t>
      </w:r>
      <w:r>
        <w:tab/>
        <w:t>Government of South Australia. ‘State Budget 20243</w:t>
      </w:r>
      <w:r w:rsidR="00151301">
        <w:t>–</w:t>
      </w:r>
      <w:r>
        <w:t>25: Budget Overview (Budget Paper 1)’.</w:t>
      </w:r>
    </w:p>
    <w:p w14:paraId="76D60D39" w14:textId="6F8B20C3" w:rsidR="003A10B9" w:rsidRDefault="00805483" w:rsidP="004D771F">
      <w:pPr>
        <w:pStyle w:val="References"/>
      </w:pPr>
      <w:r>
        <w:tab/>
      </w:r>
      <w:hyperlink r:id="rId34" w:history="1">
        <w:r w:rsidRPr="00A61652">
          <w:rPr>
            <w:rStyle w:val="Hyperlink"/>
          </w:rPr>
          <w:t>https://www.statebudget.sa.</w:t>
        </w:r>
        <w:r w:rsidRPr="00A61652">
          <w:rPr>
            <w:rStyle w:val="Hyperlink"/>
          </w:rPr>
          <w:t>g</w:t>
        </w:r>
        <w:r w:rsidRPr="00A61652">
          <w:rPr>
            <w:rStyle w:val="Hyperlink"/>
          </w:rPr>
          <w:t>ov.au/budget-papers</w:t>
        </w:r>
      </w:hyperlink>
      <w:r w:rsidR="0026750C">
        <w:t xml:space="preserve"> </w:t>
      </w:r>
      <w:r w:rsidR="003A10B9">
        <w:t>p. 13 — Accessed 19/06/24.</w:t>
      </w:r>
    </w:p>
    <w:p w14:paraId="0CC63B39" w14:textId="26BAA0DF" w:rsidR="003A10B9" w:rsidRDefault="003A10B9" w:rsidP="004D771F">
      <w:pPr>
        <w:pStyle w:val="References"/>
      </w:pPr>
      <w:r>
        <w:t>20.</w:t>
      </w:r>
      <w:r>
        <w:tab/>
        <w:t>Australian Bureau of Statistics (ABS). How Australians Use Their Time (2020</w:t>
      </w:r>
      <w:r w:rsidR="00151301">
        <w:t>–</w:t>
      </w:r>
      <w:r>
        <w:t>21).</w:t>
      </w:r>
    </w:p>
    <w:p w14:paraId="2BDAA265" w14:textId="01982BC3" w:rsidR="003A10B9" w:rsidRDefault="00805483" w:rsidP="004D771F">
      <w:pPr>
        <w:pStyle w:val="References"/>
      </w:pPr>
      <w:r>
        <w:tab/>
      </w:r>
      <w:hyperlink r:id="rId35" w:history="1">
        <w:r w:rsidR="00887570" w:rsidRPr="00A61652">
          <w:rPr>
            <w:rStyle w:val="Hyperlink"/>
          </w:rPr>
          <w:t>https://www.a</w:t>
        </w:r>
        <w:r w:rsidR="00887570" w:rsidRPr="00A61652">
          <w:rPr>
            <w:rStyle w:val="Hyperlink"/>
          </w:rPr>
          <w:t>b</w:t>
        </w:r>
        <w:r w:rsidR="00887570" w:rsidRPr="00A61652">
          <w:rPr>
            <w:rStyle w:val="Hyperlink"/>
          </w:rPr>
          <w:t>s.gov.au/statistics/people/people-and-communities/how-australians-use-their-time/2020-21</w:t>
        </w:r>
      </w:hyperlink>
      <w:r w:rsidR="00643E29">
        <w:t xml:space="preserve"> </w:t>
      </w:r>
      <w:r w:rsidR="003A10B9">
        <w:t>— Accessed 19/06/24.</w:t>
      </w:r>
    </w:p>
    <w:p w14:paraId="7D94C85E" w14:textId="5E443982" w:rsidR="003A10B9" w:rsidRDefault="003A10B9" w:rsidP="004D771F">
      <w:pPr>
        <w:pStyle w:val="References"/>
      </w:pPr>
      <w:r>
        <w:t>21.</w:t>
      </w:r>
      <w:r>
        <w:tab/>
        <w:t>Commonwealth of Australia ‘Budget 20</w:t>
      </w:r>
      <w:r w:rsidR="001202C1">
        <w:t>24–25</w:t>
      </w:r>
      <w:r>
        <w:t>: Women’s Budget Statement’</w:t>
      </w:r>
    </w:p>
    <w:p w14:paraId="4FD7A985" w14:textId="7136BBB0" w:rsidR="003A10B9" w:rsidRDefault="004D771F" w:rsidP="004D771F">
      <w:pPr>
        <w:pStyle w:val="References"/>
      </w:pPr>
      <w:r>
        <w:tab/>
      </w:r>
      <w:hyperlink r:id="rId36" w:history="1">
        <w:r w:rsidRPr="00A61652">
          <w:rPr>
            <w:rStyle w:val="Hyperlink"/>
          </w:rPr>
          <w:t>https://budget.g</w:t>
        </w:r>
        <w:r w:rsidRPr="00A61652">
          <w:rPr>
            <w:rStyle w:val="Hyperlink"/>
          </w:rPr>
          <w:t>o</w:t>
        </w:r>
        <w:r w:rsidRPr="00A61652">
          <w:rPr>
            <w:rStyle w:val="Hyperlink"/>
          </w:rPr>
          <w:t>v.au/content/womens-statement/index.htm</w:t>
        </w:r>
      </w:hyperlink>
      <w:r w:rsidR="00965B22">
        <w:t xml:space="preserve"> </w:t>
      </w:r>
      <w:r w:rsidR="003A10B9">
        <w:t>p. 30 — Accessed 19/06/24.</w:t>
      </w:r>
    </w:p>
    <w:p w14:paraId="643128F3" w14:textId="64C87884" w:rsidR="00F162FB" w:rsidRDefault="003A10B9" w:rsidP="004D771F">
      <w:pPr>
        <w:pStyle w:val="References"/>
      </w:pPr>
      <w:r>
        <w:t>22.</w:t>
      </w:r>
      <w:r>
        <w:tab/>
        <w:t>Commonwealth of Australia ‘Budget 20</w:t>
      </w:r>
      <w:r w:rsidR="001202C1">
        <w:t>24–25</w:t>
      </w:r>
      <w:r>
        <w:t>: Women’s Budget Statement’</w:t>
      </w:r>
    </w:p>
    <w:p w14:paraId="42E7D7A3" w14:textId="3217230A" w:rsidR="005F3B67" w:rsidRDefault="00805483" w:rsidP="004D771F">
      <w:pPr>
        <w:pStyle w:val="References"/>
      </w:pPr>
      <w:r>
        <w:tab/>
      </w:r>
      <w:hyperlink r:id="rId37" w:history="1">
        <w:r w:rsidR="004D771F" w:rsidRPr="00A61652">
          <w:rPr>
            <w:rStyle w:val="Hyperlink"/>
          </w:rPr>
          <w:t>https://budget.gov.au/content/womens-statement/index.htm</w:t>
        </w:r>
      </w:hyperlink>
      <w:r w:rsidR="00ED745E">
        <w:t xml:space="preserve"> </w:t>
      </w:r>
      <w:r w:rsidR="003A10B9">
        <w:t>p. 30-31 — Accessed 19/06/24.</w:t>
      </w:r>
    </w:p>
    <w:p w14:paraId="67AF94E1" w14:textId="4E4D1CDA" w:rsidR="003A10B9" w:rsidRDefault="003A10B9" w:rsidP="005C1881">
      <w:pPr>
        <w:pStyle w:val="Heading3"/>
      </w:pPr>
      <w:bookmarkStart w:id="56" w:name="_Toc171501597"/>
      <w:r>
        <w:t>Skills and training</w:t>
      </w:r>
      <w:bookmarkEnd w:id="56"/>
    </w:p>
    <w:p w14:paraId="3E3795DD" w14:textId="54EB163E" w:rsidR="00ED745E" w:rsidRDefault="003A10B9" w:rsidP="004D771F">
      <w:pPr>
        <w:pStyle w:val="References"/>
      </w:pPr>
      <w:r>
        <w:t>23.</w:t>
      </w:r>
      <w:r>
        <w:tab/>
        <w:t>Australian Bureau of Statistics (ABS). Labour Force, Australia, Detailed.</w:t>
      </w:r>
    </w:p>
    <w:p w14:paraId="55EF5BCC" w14:textId="78BBBAD9" w:rsidR="003A10B9" w:rsidRDefault="00805483" w:rsidP="004D771F">
      <w:pPr>
        <w:pStyle w:val="References"/>
      </w:pPr>
      <w:r>
        <w:tab/>
      </w:r>
      <w:hyperlink r:id="rId38" w:history="1">
        <w:r w:rsidR="004D771F" w:rsidRPr="00A61652">
          <w:rPr>
            <w:rStyle w:val="Hyperlink"/>
          </w:rPr>
          <w:t>https://www.abs.gov.au/statistics/labour/employment-and-unemployment/labour-force-australia-detailed/feb-2024</w:t>
        </w:r>
      </w:hyperlink>
      <w:r w:rsidR="009A1A48">
        <w:t xml:space="preserve"> </w:t>
      </w:r>
      <w:r w:rsidR="003A10B9">
        <w:t>— Accessed 19/06/24.</w:t>
      </w:r>
    </w:p>
    <w:p w14:paraId="5AA175B4" w14:textId="41F8A05E" w:rsidR="003A10B9" w:rsidRDefault="003A10B9" w:rsidP="004D771F">
      <w:pPr>
        <w:pStyle w:val="References"/>
      </w:pPr>
      <w:r>
        <w:t>24.</w:t>
      </w:r>
      <w:r>
        <w:tab/>
        <w:t>Commonwealth of Australia ‘Budget 20</w:t>
      </w:r>
      <w:r w:rsidR="001202C1">
        <w:t>24–25</w:t>
      </w:r>
      <w:r>
        <w:t>: Women’s Budget Statement’</w:t>
      </w:r>
    </w:p>
    <w:p w14:paraId="7F2D5700" w14:textId="5FCE1089" w:rsidR="003A10B9" w:rsidRDefault="00805483" w:rsidP="004D771F">
      <w:pPr>
        <w:pStyle w:val="References"/>
      </w:pPr>
      <w:r>
        <w:tab/>
      </w:r>
      <w:hyperlink r:id="rId39" w:history="1">
        <w:r w:rsidRPr="00A61652">
          <w:rPr>
            <w:rStyle w:val="Hyperlink"/>
          </w:rPr>
          <w:t>https://budget.gov.au/content/womens-statement/index.htm</w:t>
        </w:r>
      </w:hyperlink>
      <w:r w:rsidR="009A1A48">
        <w:t xml:space="preserve"> </w:t>
      </w:r>
      <w:r w:rsidR="003A10B9">
        <w:t>p. 49 — Accessed 19/06/24.</w:t>
      </w:r>
    </w:p>
    <w:p w14:paraId="096F8853" w14:textId="77777777" w:rsidR="003A10B9" w:rsidRDefault="003A10B9" w:rsidP="004D771F">
      <w:pPr>
        <w:pStyle w:val="References"/>
      </w:pPr>
      <w:r>
        <w:t>25.</w:t>
      </w:r>
      <w:r>
        <w:tab/>
        <w:t>Australian Bureau of Statistics (ABS). Average Weekly Earnings, Australia (November 2023).</w:t>
      </w:r>
    </w:p>
    <w:p w14:paraId="16CD8C3B" w14:textId="0958940E" w:rsidR="003A10B9" w:rsidRDefault="00805483" w:rsidP="004D771F">
      <w:pPr>
        <w:pStyle w:val="References"/>
      </w:pPr>
      <w:r>
        <w:tab/>
      </w:r>
      <w:hyperlink r:id="rId40" w:history="1">
        <w:r w:rsidRPr="00A61652">
          <w:rPr>
            <w:rStyle w:val="Hyperlink"/>
          </w:rPr>
          <w:t>https://www.abs.gov.au/statistics/labour/earnings-and-working-conditions/average-weekly-earnings-australia/nov-2023</w:t>
        </w:r>
      </w:hyperlink>
      <w:r w:rsidR="00510C16">
        <w:t xml:space="preserve"> </w:t>
      </w:r>
      <w:r w:rsidR="003A10B9">
        <w:t>— Accessed 19/06/24.</w:t>
      </w:r>
    </w:p>
    <w:p w14:paraId="66897020" w14:textId="77777777" w:rsidR="003A10B9" w:rsidRDefault="003A10B9" w:rsidP="005C1881">
      <w:pPr>
        <w:pStyle w:val="Heading3"/>
      </w:pPr>
      <w:r>
        <w:t>Participation in business</w:t>
      </w:r>
    </w:p>
    <w:p w14:paraId="419F5A69" w14:textId="77777777" w:rsidR="003A10B9" w:rsidRDefault="003A10B9" w:rsidP="00F91535">
      <w:pPr>
        <w:pStyle w:val="References"/>
      </w:pPr>
      <w:r>
        <w:t>26.</w:t>
      </w:r>
      <w:r>
        <w:tab/>
        <w:t>Workplace Gender Equality Agency (WGEA) ‘Data Explorer: Workforce Composition’.</w:t>
      </w:r>
    </w:p>
    <w:p w14:paraId="195C3F5F" w14:textId="1A4350EB" w:rsidR="003A10B9" w:rsidRDefault="00F91535" w:rsidP="00F91535">
      <w:pPr>
        <w:pStyle w:val="References"/>
      </w:pPr>
      <w:r>
        <w:tab/>
      </w:r>
      <w:hyperlink r:id="rId41" w:history="1">
        <w:r w:rsidR="009D2567" w:rsidRPr="00A61652">
          <w:rPr>
            <w:rStyle w:val="Hyperlink"/>
          </w:rPr>
          <w:t>https://www.wgea.gov.au/data-statistics/data-explorer</w:t>
        </w:r>
      </w:hyperlink>
      <w:r w:rsidR="00E85190">
        <w:t xml:space="preserve"> </w:t>
      </w:r>
      <w:r w:rsidR="003A10B9">
        <w:t>— Accessed 19/06/24.</w:t>
      </w:r>
    </w:p>
    <w:p w14:paraId="736F4A1D" w14:textId="06EAABB7" w:rsidR="00510C16" w:rsidRDefault="003A10B9" w:rsidP="00F91535">
      <w:pPr>
        <w:pStyle w:val="References"/>
      </w:pPr>
      <w:r>
        <w:t>27.</w:t>
      </w:r>
      <w:r>
        <w:tab/>
        <w:t>ASX, ‘Room for improvement: more women needed in executive roles’,</w:t>
      </w:r>
    </w:p>
    <w:p w14:paraId="3DAF952B" w14:textId="6F41ED1D" w:rsidR="00E31F48" w:rsidRDefault="00F91535" w:rsidP="00F91535">
      <w:pPr>
        <w:pStyle w:val="References"/>
      </w:pPr>
      <w:r>
        <w:tab/>
      </w:r>
      <w:hyperlink r:id="rId42" w:history="1">
        <w:r w:rsidRPr="00A61652">
          <w:rPr>
            <w:rStyle w:val="Hyperlink"/>
          </w:rPr>
          <w:t>https://www.asx.com.au/blog/listed-at-asx/room-for-improvement-more-women-needed-in-executive-roles</w:t>
        </w:r>
      </w:hyperlink>
    </w:p>
    <w:p w14:paraId="77D08C4E" w14:textId="1BAFADE9" w:rsidR="003A10B9" w:rsidRDefault="003A10B9" w:rsidP="00F91535">
      <w:pPr>
        <w:pStyle w:val="References"/>
      </w:pPr>
      <w:r>
        <w:t>28.</w:t>
      </w:r>
      <w:r>
        <w:tab/>
        <w:t>Australian Institute of Company Directors (AITD), ‘Australia’s top boards reaching 40 per cent women’,</w:t>
      </w:r>
    </w:p>
    <w:p w14:paraId="16A37C36" w14:textId="372904CD" w:rsidR="003A10B9" w:rsidRDefault="00805483" w:rsidP="00F91535">
      <w:pPr>
        <w:pStyle w:val="References"/>
      </w:pPr>
      <w:r>
        <w:tab/>
      </w:r>
      <w:hyperlink r:id="rId43" w:history="1">
        <w:r w:rsidRPr="00A61652">
          <w:rPr>
            <w:rStyle w:val="Hyperlink"/>
          </w:rPr>
          <w:t>https://www.aicd.com.au/content/dam/aicd/pdf/news-media/media-release/2024/aicd-media-release-gender-diveristy-080324.pdf</w:t>
        </w:r>
      </w:hyperlink>
      <w:r w:rsidR="00307F5E">
        <w:t xml:space="preserve"> </w:t>
      </w:r>
      <w:r w:rsidR="003A10B9">
        <w:t>— Accessed 4/07/24.</w:t>
      </w:r>
    </w:p>
    <w:p w14:paraId="18E0CF01" w14:textId="77777777" w:rsidR="003A10B9" w:rsidRDefault="003A10B9" w:rsidP="00F91535">
      <w:pPr>
        <w:pStyle w:val="References"/>
      </w:pPr>
      <w:r>
        <w:t>29.</w:t>
      </w:r>
      <w:r>
        <w:tab/>
        <w:t>Workplace Gender Equality Agency (WGEA) ‘Data Explorer: Workforce Composition’.</w:t>
      </w:r>
    </w:p>
    <w:p w14:paraId="0372135D" w14:textId="65E23A53" w:rsidR="003A10B9" w:rsidRDefault="00805483" w:rsidP="00F91535">
      <w:pPr>
        <w:pStyle w:val="References"/>
      </w:pPr>
      <w:r>
        <w:lastRenderedPageBreak/>
        <w:tab/>
      </w:r>
      <w:hyperlink r:id="rId44" w:history="1">
        <w:r w:rsidR="00F91535" w:rsidRPr="00A61652">
          <w:rPr>
            <w:rStyle w:val="Hyperlink"/>
          </w:rPr>
          <w:t>https://www.wgea.gov.au/data-statistics/data-explorer</w:t>
        </w:r>
      </w:hyperlink>
      <w:r w:rsidR="00307F5E">
        <w:t xml:space="preserve"> </w:t>
      </w:r>
      <w:r w:rsidR="003A10B9">
        <w:t>— Accessed 19/06/24.</w:t>
      </w:r>
    </w:p>
    <w:p w14:paraId="4A5D7A87" w14:textId="77777777" w:rsidR="003A10B9" w:rsidRDefault="003A10B9" w:rsidP="00F91535">
      <w:pPr>
        <w:pStyle w:val="References"/>
      </w:pPr>
      <w:r>
        <w:t>30.</w:t>
      </w:r>
      <w:r>
        <w:tab/>
        <w:t>Workplace Gender Equality Agency (WGEA) ‘Data Explorer: Workforce Composition’.</w:t>
      </w:r>
    </w:p>
    <w:p w14:paraId="042AA5AF" w14:textId="32E48115" w:rsidR="005F3B67" w:rsidRDefault="00F91535" w:rsidP="00F91535">
      <w:pPr>
        <w:pStyle w:val="References"/>
      </w:pPr>
      <w:r>
        <w:tab/>
      </w:r>
      <w:hyperlink r:id="rId45" w:history="1">
        <w:r w:rsidRPr="00A61652">
          <w:rPr>
            <w:rStyle w:val="Hyperlink"/>
          </w:rPr>
          <w:t>https://www.wgea.gov.au/data-statistics/data-explorer</w:t>
        </w:r>
      </w:hyperlink>
      <w:r w:rsidR="00307F5E">
        <w:t xml:space="preserve"> </w:t>
      </w:r>
      <w:r w:rsidR="003A10B9">
        <w:t>— Accessed 19/06/24.</w:t>
      </w:r>
    </w:p>
    <w:p w14:paraId="42A47C67" w14:textId="0668F925" w:rsidR="003A10B9" w:rsidRDefault="003A10B9" w:rsidP="005C1881">
      <w:pPr>
        <w:pStyle w:val="Heading3"/>
      </w:pPr>
      <w:bookmarkStart w:id="57" w:name="_Toc171501598"/>
      <w:r>
        <w:t>Participation in Sport</w:t>
      </w:r>
      <w:bookmarkEnd w:id="57"/>
    </w:p>
    <w:p w14:paraId="3B4558C7" w14:textId="77777777" w:rsidR="003A10B9" w:rsidRDefault="003A10B9" w:rsidP="00F91535">
      <w:pPr>
        <w:pStyle w:val="References"/>
      </w:pPr>
      <w:r>
        <w:t>31.</w:t>
      </w:r>
      <w:r>
        <w:tab/>
        <w:t>Workplace Gender Equality Agency (WGEA) ‘Data Explorer: Workforce Composition’.</w:t>
      </w:r>
    </w:p>
    <w:p w14:paraId="6E6BB091" w14:textId="5F60B66D" w:rsidR="003A10B9" w:rsidRDefault="00716AB7" w:rsidP="00F91535">
      <w:pPr>
        <w:pStyle w:val="References"/>
      </w:pPr>
      <w:r>
        <w:tab/>
      </w:r>
      <w:hyperlink r:id="rId46" w:history="1">
        <w:r w:rsidRPr="00A61652">
          <w:rPr>
            <w:rStyle w:val="Hyperlink"/>
          </w:rPr>
          <w:t>https://www.wgea.gov.au/data-statistics/data-explorer</w:t>
        </w:r>
      </w:hyperlink>
      <w:r w:rsidR="00643E29">
        <w:t xml:space="preserve"> </w:t>
      </w:r>
    </w:p>
    <w:p w14:paraId="16E7E8CF" w14:textId="0E972871" w:rsidR="00510C16" w:rsidRDefault="003A10B9" w:rsidP="00F91535">
      <w:pPr>
        <w:pStyle w:val="References"/>
      </w:pPr>
      <w:r>
        <w:t>32.</w:t>
      </w:r>
      <w:r>
        <w:tab/>
        <w:t>Clearing House for Sport. ‘Women in Sport: Factors Influencing Participation’</w:t>
      </w:r>
    </w:p>
    <w:p w14:paraId="3461A88E" w14:textId="73913F73" w:rsidR="003A10B9" w:rsidRDefault="00716AB7" w:rsidP="00F91535">
      <w:pPr>
        <w:pStyle w:val="References"/>
      </w:pPr>
      <w:r>
        <w:tab/>
      </w:r>
      <w:hyperlink r:id="rId47" w:history="1">
        <w:r w:rsidRPr="00A61652">
          <w:rPr>
            <w:rStyle w:val="Hyperlink"/>
          </w:rPr>
          <w:t>https://www.clearinghouseforsport.gov.au/kb/women-in-sport/factors-influencing-participation</w:t>
        </w:r>
      </w:hyperlink>
      <w:r w:rsidR="00FA5353">
        <w:t xml:space="preserve"> </w:t>
      </w:r>
    </w:p>
    <w:p w14:paraId="218C2F6C" w14:textId="77777777" w:rsidR="003A10B9" w:rsidRDefault="003A10B9" w:rsidP="00F91535">
      <w:pPr>
        <w:pStyle w:val="References"/>
      </w:pPr>
      <w:r>
        <w:t>33.</w:t>
      </w:r>
      <w:r>
        <w:tab/>
        <w:t>Workplace Gender Equality Agency (WGEA) ‘Data Explorer: Workforce Composition’.</w:t>
      </w:r>
    </w:p>
    <w:p w14:paraId="1A0401ED" w14:textId="5CB8A652" w:rsidR="003A10B9" w:rsidRDefault="00716AB7" w:rsidP="00F91535">
      <w:pPr>
        <w:pStyle w:val="References"/>
      </w:pPr>
      <w:r>
        <w:tab/>
      </w:r>
      <w:hyperlink r:id="rId48" w:history="1">
        <w:r w:rsidRPr="00A61652">
          <w:rPr>
            <w:rStyle w:val="Hyperlink"/>
          </w:rPr>
          <w:t>https://www.wgea.gov.au/data-statistics/data-explorer</w:t>
        </w:r>
      </w:hyperlink>
      <w:r w:rsidR="00FA5353">
        <w:t xml:space="preserve"> </w:t>
      </w:r>
    </w:p>
    <w:p w14:paraId="26CAA3B6" w14:textId="77777777" w:rsidR="003A10B9" w:rsidRDefault="003A10B9" w:rsidP="00F91535">
      <w:pPr>
        <w:pStyle w:val="References"/>
      </w:pPr>
      <w:r>
        <w:t>34.</w:t>
      </w:r>
      <w:r>
        <w:tab/>
        <w:t>Workplace Gender Equality Agency (WGEA) ‘Data Explorer: Workforce Composition’.</w:t>
      </w:r>
    </w:p>
    <w:p w14:paraId="46F742F3" w14:textId="727B5A8B" w:rsidR="003A10B9" w:rsidRDefault="00716AB7" w:rsidP="00F91535">
      <w:pPr>
        <w:pStyle w:val="References"/>
      </w:pPr>
      <w:r>
        <w:tab/>
      </w:r>
      <w:hyperlink r:id="rId49" w:history="1">
        <w:r w:rsidRPr="00A61652">
          <w:rPr>
            <w:rStyle w:val="Hyperlink"/>
          </w:rPr>
          <w:t>https://www.wgea.gov.au/data-statistics/data-explorer</w:t>
        </w:r>
      </w:hyperlink>
      <w:r w:rsidR="00FA5353">
        <w:t xml:space="preserve"> </w:t>
      </w:r>
    </w:p>
    <w:p w14:paraId="16D04935" w14:textId="77777777" w:rsidR="003A10B9" w:rsidRDefault="003A10B9" w:rsidP="00F91535">
      <w:pPr>
        <w:pStyle w:val="References"/>
      </w:pPr>
      <w:r>
        <w:t>35.</w:t>
      </w:r>
      <w:r>
        <w:tab/>
        <w:t>Commonwealth of Australia ‘Budget 2024–25: Women’s Budget Statement’</w:t>
      </w:r>
    </w:p>
    <w:p w14:paraId="4F95436E" w14:textId="5E4364BE" w:rsidR="003A10B9" w:rsidRDefault="00F91535" w:rsidP="00F91535">
      <w:pPr>
        <w:pStyle w:val="References"/>
      </w:pPr>
      <w:r>
        <w:tab/>
      </w:r>
      <w:hyperlink r:id="rId50" w:history="1">
        <w:r w:rsidRPr="00A61652">
          <w:rPr>
            <w:rStyle w:val="Hyperlink"/>
          </w:rPr>
          <w:t>https://budget.gov.au/content/womens-statement/index.htm</w:t>
        </w:r>
      </w:hyperlink>
      <w:r w:rsidR="00643E29">
        <w:t xml:space="preserve"> </w:t>
      </w:r>
      <w:r w:rsidR="003A10B9">
        <w:t>p.84 — Accessed 19/06/24.</w:t>
      </w:r>
    </w:p>
    <w:p w14:paraId="2C48B040" w14:textId="77777777" w:rsidR="003A10B9" w:rsidRDefault="003A10B9" w:rsidP="00F91535">
      <w:pPr>
        <w:pStyle w:val="References"/>
      </w:pPr>
      <w:r>
        <w:t>36.</w:t>
      </w:r>
      <w:r>
        <w:tab/>
        <w:t>Government of South Australia. ‘State Budget 2024–25: Budget Overview (Budget Paper 1)’.</w:t>
      </w:r>
    </w:p>
    <w:p w14:paraId="49DAE889" w14:textId="7FFCA5B2" w:rsidR="005F3B67" w:rsidRDefault="00F91535" w:rsidP="00F91535">
      <w:pPr>
        <w:pStyle w:val="References"/>
      </w:pPr>
      <w:r>
        <w:tab/>
      </w:r>
      <w:hyperlink r:id="rId51" w:history="1">
        <w:r w:rsidRPr="00A61652">
          <w:rPr>
            <w:rStyle w:val="Hyperlink"/>
          </w:rPr>
          <w:t>https://www.statebudget.sa.gov.au/budget-papers</w:t>
        </w:r>
      </w:hyperlink>
      <w:r w:rsidR="00643E29">
        <w:t xml:space="preserve"> </w:t>
      </w:r>
      <w:r w:rsidR="003A10B9">
        <w:t>p. 36 — Accessed 19/06/24.</w:t>
      </w:r>
    </w:p>
    <w:p w14:paraId="1B462D02" w14:textId="4874F4AA" w:rsidR="003A10B9" w:rsidRDefault="003A10B9" w:rsidP="005C1881">
      <w:pPr>
        <w:pStyle w:val="Heading3"/>
      </w:pPr>
      <w:bookmarkStart w:id="58" w:name="_Toc171501599"/>
      <w:r>
        <w:t>Health</w:t>
      </w:r>
      <w:bookmarkEnd w:id="58"/>
    </w:p>
    <w:p w14:paraId="6E396FE7" w14:textId="77777777" w:rsidR="003A10B9" w:rsidRDefault="003A10B9" w:rsidP="00F91535">
      <w:pPr>
        <w:pStyle w:val="References"/>
      </w:pPr>
      <w:r>
        <w:t>37.</w:t>
      </w:r>
      <w:r>
        <w:tab/>
        <w:t>Australian Bureau of Statistics (ABS). 2020–2022 National Study of Mental Health and Wellbeing.</w:t>
      </w:r>
    </w:p>
    <w:p w14:paraId="2C86F5E1" w14:textId="7BCC6E1E" w:rsidR="003A10B9" w:rsidRDefault="00F91535" w:rsidP="00F91535">
      <w:pPr>
        <w:pStyle w:val="References"/>
      </w:pPr>
      <w:r>
        <w:tab/>
      </w:r>
      <w:hyperlink r:id="rId52" w:history="1">
        <w:r w:rsidR="00B02973" w:rsidRPr="00A61652">
          <w:rPr>
            <w:rStyle w:val="Hyperlink"/>
          </w:rPr>
          <w:t>https://www.abs.gov.au/stat</w:t>
        </w:r>
        <w:r w:rsidR="00B02973" w:rsidRPr="00A61652">
          <w:rPr>
            <w:rStyle w:val="Hyperlink"/>
          </w:rPr>
          <w:t>i</w:t>
        </w:r>
        <w:r w:rsidR="00B02973" w:rsidRPr="00A61652">
          <w:rPr>
            <w:rStyle w:val="Hyperlink"/>
          </w:rPr>
          <w:t>stics/health/mental-health/national-study-mental-health-and-wellbeing/2020-2022</w:t>
        </w:r>
      </w:hyperlink>
      <w:r w:rsidR="00643E29">
        <w:t xml:space="preserve"> </w:t>
      </w:r>
      <w:r w:rsidR="003A10B9">
        <w:t>— Accessed 19/06/24.</w:t>
      </w:r>
    </w:p>
    <w:p w14:paraId="50938BD5" w14:textId="77777777" w:rsidR="003A10B9" w:rsidRDefault="003A10B9" w:rsidP="00F91535">
      <w:pPr>
        <w:pStyle w:val="References"/>
      </w:pPr>
      <w:r>
        <w:t>38.</w:t>
      </w:r>
      <w:r>
        <w:tab/>
        <w:t>Australian Bureau of Statistics (ABS). 2020–2022 National Study of Mental Health and Wellbeing.</w:t>
      </w:r>
    </w:p>
    <w:p w14:paraId="47685514" w14:textId="1671A26A" w:rsidR="003A10B9" w:rsidRDefault="00F91535" w:rsidP="00F91535">
      <w:pPr>
        <w:pStyle w:val="References"/>
      </w:pPr>
      <w:r>
        <w:tab/>
      </w:r>
      <w:hyperlink r:id="rId53" w:history="1">
        <w:r w:rsidR="00643E29" w:rsidRPr="00A61652">
          <w:rPr>
            <w:rStyle w:val="Hyperlink"/>
          </w:rPr>
          <w:t>https://www.abs.gov.au/statistics/health/mental-health/national-study-mental-health-and-wellbeing/2020-2022</w:t>
        </w:r>
      </w:hyperlink>
      <w:r w:rsidR="00643E29">
        <w:t xml:space="preserve"> </w:t>
      </w:r>
      <w:r w:rsidR="003A10B9">
        <w:t>— Accessed 19/06/24.</w:t>
      </w:r>
    </w:p>
    <w:p w14:paraId="0894ACEC" w14:textId="01EEB37E" w:rsidR="003A10B9" w:rsidRDefault="003A10B9" w:rsidP="00F91535">
      <w:pPr>
        <w:pStyle w:val="References"/>
      </w:pPr>
      <w:r>
        <w:t>39.</w:t>
      </w:r>
      <w:r>
        <w:tab/>
        <w:t>Commonwealth of Australia ‘Budget 2024–25: Women’s Budget Statement’</w:t>
      </w:r>
    </w:p>
    <w:p w14:paraId="1F43CDEE" w14:textId="27AF0ADB" w:rsidR="004F746D" w:rsidRDefault="00F91535" w:rsidP="00F91535">
      <w:pPr>
        <w:pStyle w:val="References"/>
      </w:pPr>
      <w:r>
        <w:tab/>
      </w:r>
      <w:hyperlink r:id="rId54" w:history="1">
        <w:r w:rsidRPr="00A61652">
          <w:rPr>
            <w:rStyle w:val="Hyperlink"/>
          </w:rPr>
          <w:t>https://budget.gov.au/con</w:t>
        </w:r>
        <w:r w:rsidRPr="00A61652">
          <w:rPr>
            <w:rStyle w:val="Hyperlink"/>
          </w:rPr>
          <w:t>t</w:t>
        </w:r>
        <w:r w:rsidRPr="00A61652">
          <w:rPr>
            <w:rStyle w:val="Hyperlink"/>
          </w:rPr>
          <w:t>ent/womens-statement/index.htm</w:t>
        </w:r>
      </w:hyperlink>
      <w:r w:rsidR="00643E29">
        <w:t xml:space="preserve"> </w:t>
      </w:r>
      <w:r w:rsidR="003A10B9">
        <w:t>p. 64 — Accessed 19/06/24.</w:t>
      </w:r>
    </w:p>
    <w:p w14:paraId="24B43444" w14:textId="77777777" w:rsidR="004F746D" w:rsidRDefault="004F746D" w:rsidP="00602FE5">
      <w:r>
        <w:br w:type="page"/>
      </w:r>
    </w:p>
    <w:p w14:paraId="43D9343D" w14:textId="5B191BE5" w:rsidR="006C4E5B" w:rsidRDefault="004F746D" w:rsidP="005C1881">
      <w:pPr>
        <w:pStyle w:val="Heading2"/>
      </w:pPr>
      <w:bookmarkStart w:id="59" w:name="_Toc171511279"/>
      <w:r>
        <w:lastRenderedPageBreak/>
        <w:t>Acronyms</w:t>
      </w:r>
      <w:bookmarkEnd w:id="59"/>
    </w:p>
    <w:p w14:paraId="285C00D3" w14:textId="32EFF2A6" w:rsidR="0025189E" w:rsidRDefault="0025189E" w:rsidP="0025189E">
      <w:pPr>
        <w:pStyle w:val="Heading3"/>
      </w:pPr>
      <w:r>
        <w:t>ASX 300</w:t>
      </w:r>
    </w:p>
    <w:p w14:paraId="1F32F58B" w14:textId="77777777" w:rsidR="0025189E" w:rsidRDefault="0025189E" w:rsidP="00602FE5">
      <w:r>
        <w:t xml:space="preserve">A </w:t>
      </w:r>
      <w:r w:rsidRPr="0025189E">
        <w:t>stock market index that tracks the performance of 300 large Australian companies listed on the Australian Securities Exchange (ASX).</w:t>
      </w:r>
    </w:p>
    <w:p w14:paraId="6C985CFE" w14:textId="530C7009" w:rsidR="0025189E" w:rsidRDefault="0025189E" w:rsidP="0025189E">
      <w:pPr>
        <w:pStyle w:val="Heading3"/>
      </w:pPr>
      <w:r>
        <w:t>CEO</w:t>
      </w:r>
    </w:p>
    <w:p w14:paraId="5C024AF6" w14:textId="6875CC43" w:rsidR="0025189E" w:rsidRDefault="0025189E" w:rsidP="00602FE5">
      <w:r>
        <w:t>Chief Executive Officer</w:t>
      </w:r>
    </w:p>
    <w:p w14:paraId="2C345AE9" w14:textId="77777777" w:rsidR="0025189E" w:rsidRDefault="0025189E" w:rsidP="0025189E">
      <w:pPr>
        <w:pStyle w:val="Heading3"/>
      </w:pPr>
      <w:r>
        <w:t>COLC</w:t>
      </w:r>
    </w:p>
    <w:p w14:paraId="528FE310" w14:textId="0D646897" w:rsidR="0025189E" w:rsidRPr="00C646DA" w:rsidRDefault="0025189E" w:rsidP="00602FE5">
      <w:r>
        <w:t>Cost of Living Concession</w:t>
      </w:r>
    </w:p>
    <w:p w14:paraId="34904488" w14:textId="3551CF37" w:rsidR="0025189E" w:rsidRDefault="0025189E" w:rsidP="0025189E">
      <w:pPr>
        <w:pStyle w:val="Heading3"/>
      </w:pPr>
      <w:r>
        <w:t>DSFV</w:t>
      </w:r>
    </w:p>
    <w:p w14:paraId="701370EC" w14:textId="39C39B0C" w:rsidR="0025189E" w:rsidRDefault="0025189E" w:rsidP="00602FE5">
      <w:r>
        <w:t>Domestic, Sexual and Family Violence</w:t>
      </w:r>
    </w:p>
    <w:p w14:paraId="370B2ED9" w14:textId="2A119779" w:rsidR="0025189E" w:rsidRDefault="0025189E" w:rsidP="0025189E">
      <w:pPr>
        <w:pStyle w:val="Heading3"/>
      </w:pPr>
      <w:r>
        <w:t>SAYES</w:t>
      </w:r>
    </w:p>
    <w:p w14:paraId="023FD789" w14:textId="32DF8AE8" w:rsidR="0025189E" w:rsidRDefault="0025189E" w:rsidP="00602FE5">
      <w:r w:rsidRPr="00AA4B8D">
        <w:t>South Australian Young Entrepreneurs Scheme</w:t>
      </w:r>
    </w:p>
    <w:p w14:paraId="2DBB0930" w14:textId="77777777" w:rsidR="0025189E" w:rsidRDefault="0025189E" w:rsidP="0025189E">
      <w:pPr>
        <w:pStyle w:val="Heading3"/>
      </w:pPr>
      <w:r>
        <w:t>STEM</w:t>
      </w:r>
    </w:p>
    <w:p w14:paraId="5694EFDF" w14:textId="7B29088B" w:rsidR="0025189E" w:rsidRDefault="0025189E" w:rsidP="00602FE5">
      <w:r>
        <w:t>Science, technology, engineering and mathematics</w:t>
      </w:r>
    </w:p>
    <w:p w14:paraId="7B5C2EEE" w14:textId="77777777" w:rsidR="0025189E" w:rsidRDefault="0025189E" w:rsidP="0025189E">
      <w:pPr>
        <w:pStyle w:val="Heading3"/>
      </w:pPr>
      <w:r>
        <w:t>WGEA</w:t>
      </w:r>
    </w:p>
    <w:p w14:paraId="71D25327" w14:textId="61DEFC44" w:rsidR="0025189E" w:rsidRDefault="0025189E" w:rsidP="00602FE5">
      <w:r w:rsidRPr="0025189E">
        <w:t>Workplace Gender Equality Agency</w:t>
      </w:r>
    </w:p>
    <w:p w14:paraId="39D6FA5B" w14:textId="481EF7A4" w:rsidR="0025189E" w:rsidRDefault="0025189E" w:rsidP="0025189E">
      <w:pPr>
        <w:pStyle w:val="Heading3"/>
      </w:pPr>
      <w:r>
        <w:t>WINN</w:t>
      </w:r>
    </w:p>
    <w:p w14:paraId="16D447A9" w14:textId="68CDED84" w:rsidR="0025189E" w:rsidRDefault="0025189E" w:rsidP="00602FE5">
      <w:r>
        <w:t>Women in Innovation</w:t>
      </w:r>
    </w:p>
    <w:p w14:paraId="4B0468C0" w14:textId="78A07F8E" w:rsidR="00027DB0" w:rsidRDefault="00027DB0" w:rsidP="00602FE5"/>
    <w:p w14:paraId="5A3BC2BE" w14:textId="457466B8" w:rsidR="0025189E" w:rsidRDefault="0025189E" w:rsidP="00602FE5"/>
    <w:sectPr w:rsidR="0025189E" w:rsidSect="005C1881">
      <w:footerReference w:type="default" r:id="rId5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538B" w14:textId="77777777" w:rsidR="005930D8" w:rsidRDefault="005930D8" w:rsidP="00602FE5">
      <w:r>
        <w:separator/>
      </w:r>
    </w:p>
  </w:endnote>
  <w:endnote w:type="continuationSeparator" w:id="0">
    <w:p w14:paraId="28BCD37A" w14:textId="77777777" w:rsidR="005930D8" w:rsidRDefault="005930D8" w:rsidP="00602FE5">
      <w:r>
        <w:continuationSeparator/>
      </w:r>
    </w:p>
  </w:endnote>
  <w:endnote w:type="continuationNotice" w:id="1">
    <w:p w14:paraId="606F3581" w14:textId="77777777" w:rsidR="005930D8" w:rsidRDefault="005930D8" w:rsidP="00602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etropolis Semi Bold">
    <w:panose1 w:val="000007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9847" w14:textId="1A650A67" w:rsidR="00907619" w:rsidRDefault="00907619" w:rsidP="00602FE5">
    <w:pPr>
      <w:pStyle w:val="Footer"/>
    </w:pPr>
    <w:r>
      <w:rPr>
        <w:noProof/>
      </w:rPr>
      <mc:AlternateContent>
        <mc:Choice Requires="wps">
          <w:drawing>
            <wp:anchor distT="0" distB="0" distL="0" distR="0" simplePos="0" relativeHeight="251658243" behindDoc="0" locked="0" layoutInCell="1" allowOverlap="1" wp14:anchorId="314CC605" wp14:editId="6BCC28AA">
              <wp:simplePos x="635" y="635"/>
              <wp:positionH relativeFrom="page">
                <wp:align>center</wp:align>
              </wp:positionH>
              <wp:positionV relativeFrom="page">
                <wp:align>bottom</wp:align>
              </wp:positionV>
              <wp:extent cx="443865" cy="443865"/>
              <wp:effectExtent l="0" t="0" r="5080" b="0"/>
              <wp:wrapNone/>
              <wp:docPr id="15" name="Text Box 1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B7AF1C" w14:textId="2DC5CF31" w:rsidR="00907619" w:rsidRPr="00907619" w:rsidRDefault="00907619" w:rsidP="00602FE5">
                          <w:pPr>
                            <w:rPr>
                              <w:noProof/>
                            </w:rPr>
                          </w:pPr>
                          <w:r w:rsidRPr="00907619">
                            <w:rPr>
                              <w:noProof/>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4CC605" id="_x0000_t202" coordsize="21600,21600" o:spt="202" path="m,l,21600r21600,l21600,xe">
              <v:stroke joinstyle="miter"/>
              <v:path gradientshapeok="t" o:connecttype="rect"/>
            </v:shapetype>
            <v:shape id="Text Box 15" o:spid="_x0000_s1027" type="#_x0000_t202" alt="OFFICIAL "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CB7AF1C" w14:textId="2DC5CF31" w:rsidR="00907619" w:rsidRPr="00907619" w:rsidRDefault="00907619" w:rsidP="00602FE5">
                    <w:pPr>
                      <w:rPr>
                        <w:noProof/>
                      </w:rPr>
                    </w:pPr>
                    <w:r w:rsidRPr="00907619">
                      <w:rPr>
                        <w:noProof/>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F85B" w14:textId="140F94D1" w:rsidR="00907619" w:rsidRDefault="00907619" w:rsidP="00602FE5">
    <w:pPr>
      <w:pStyle w:val="Footer"/>
    </w:pPr>
    <w:r>
      <w:rPr>
        <w:noProof/>
      </w:rPr>
      <mc:AlternateContent>
        <mc:Choice Requires="wps">
          <w:drawing>
            <wp:anchor distT="0" distB="0" distL="0" distR="0" simplePos="0" relativeHeight="251658242" behindDoc="0" locked="0" layoutInCell="1" allowOverlap="1" wp14:anchorId="34CCDEFB" wp14:editId="37BACCDA">
              <wp:simplePos x="635" y="635"/>
              <wp:positionH relativeFrom="page">
                <wp:align>center</wp:align>
              </wp:positionH>
              <wp:positionV relativeFrom="page">
                <wp:align>bottom</wp:align>
              </wp:positionV>
              <wp:extent cx="443865" cy="443865"/>
              <wp:effectExtent l="0" t="0" r="5080" b="0"/>
              <wp:wrapNone/>
              <wp:docPr id="14" name="Text Box 1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44DD02" w14:textId="1DDF7710" w:rsidR="00907619" w:rsidRPr="00907619" w:rsidRDefault="00907619" w:rsidP="00602FE5">
                          <w:pPr>
                            <w:rPr>
                              <w:noProof/>
                            </w:rPr>
                          </w:pPr>
                          <w:r w:rsidRPr="00907619">
                            <w:rPr>
                              <w:noProof/>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CCDEFB" id="_x0000_t202" coordsize="21600,21600" o:spt="202" path="m,l,21600r21600,l21600,xe">
              <v:stroke joinstyle="miter"/>
              <v:path gradientshapeok="t" o:connecttype="rect"/>
            </v:shapetype>
            <v:shape id="Text Box 14" o:spid="_x0000_s1029" type="#_x0000_t202" alt="OFFICIAL "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544DD02" w14:textId="1DDF7710" w:rsidR="00907619" w:rsidRPr="00907619" w:rsidRDefault="00907619" w:rsidP="00602FE5">
                    <w:pPr>
                      <w:rPr>
                        <w:noProof/>
                      </w:rPr>
                    </w:pPr>
                    <w:r w:rsidRPr="00907619">
                      <w:rPr>
                        <w:noProof/>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251751"/>
      <w:docPartObj>
        <w:docPartGallery w:val="Page Numbers (Bottom of Page)"/>
        <w:docPartUnique/>
      </w:docPartObj>
    </w:sdtPr>
    <w:sdtEndPr/>
    <w:sdtContent>
      <w:p w14:paraId="690105FE" w14:textId="0B2F613F" w:rsidR="000C5BAE" w:rsidRPr="0062175E" w:rsidRDefault="000C5BAE" w:rsidP="00602FE5">
        <w:pPr>
          <w:pStyle w:val="Footer"/>
        </w:pPr>
        <w:r w:rsidRPr="0062175E">
          <w:fldChar w:fldCharType="begin"/>
        </w:r>
        <w:r w:rsidRPr="0062175E">
          <w:instrText xml:space="preserve"> PAGE   \* MERGEFORMAT </w:instrText>
        </w:r>
        <w:r w:rsidRPr="0062175E">
          <w:fldChar w:fldCharType="separate"/>
        </w:r>
        <w:r w:rsidRPr="0062175E">
          <w:t>2</w:t>
        </w:r>
        <w:r w:rsidRPr="0062175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964D" w14:textId="77777777" w:rsidR="005930D8" w:rsidRDefault="005930D8" w:rsidP="00602FE5">
      <w:r>
        <w:separator/>
      </w:r>
    </w:p>
  </w:footnote>
  <w:footnote w:type="continuationSeparator" w:id="0">
    <w:p w14:paraId="16C4E2B3" w14:textId="77777777" w:rsidR="005930D8" w:rsidRDefault="005930D8" w:rsidP="00602FE5">
      <w:r>
        <w:continuationSeparator/>
      </w:r>
    </w:p>
  </w:footnote>
  <w:footnote w:type="continuationNotice" w:id="1">
    <w:p w14:paraId="32532991" w14:textId="77777777" w:rsidR="005930D8" w:rsidRDefault="005930D8" w:rsidP="00602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2EF9" w14:textId="43FB91A8" w:rsidR="00907619" w:rsidRDefault="00907619" w:rsidP="00602FE5">
    <w:pPr>
      <w:pStyle w:val="Header"/>
    </w:pPr>
    <w:r>
      <w:rPr>
        <w:noProof/>
      </w:rPr>
      <mc:AlternateContent>
        <mc:Choice Requires="wps">
          <w:drawing>
            <wp:anchor distT="0" distB="0" distL="0" distR="0" simplePos="0" relativeHeight="251658241" behindDoc="0" locked="0" layoutInCell="1" allowOverlap="1" wp14:anchorId="250FB30C" wp14:editId="049C8BB8">
              <wp:simplePos x="635" y="635"/>
              <wp:positionH relativeFrom="page">
                <wp:align>center</wp:align>
              </wp:positionH>
              <wp:positionV relativeFrom="page">
                <wp:align>top</wp:align>
              </wp:positionV>
              <wp:extent cx="443865" cy="443865"/>
              <wp:effectExtent l="0" t="0" r="18415" b="1270"/>
              <wp:wrapNone/>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8784B9" w14:textId="3DFB9FB3" w:rsidR="00907619" w:rsidRPr="00907619" w:rsidRDefault="00907619" w:rsidP="00602FE5">
                          <w:pPr>
                            <w:rPr>
                              <w:noProof/>
                            </w:rPr>
                          </w:pPr>
                          <w:r w:rsidRPr="00907619">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0FB30C" id="_x0000_t202" coordsize="21600,21600" o:spt="202" path="m,l,21600r21600,l21600,xe">
              <v:stroke joinstyle="miter"/>
              <v:path gradientshapeok="t" o:connecttype="rect"/>
            </v:shapetype>
            <v:shape id="Text Box 1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48784B9" w14:textId="3DFB9FB3" w:rsidR="00907619" w:rsidRPr="00907619" w:rsidRDefault="00907619" w:rsidP="00602FE5">
                    <w:pPr>
                      <w:rPr>
                        <w:noProof/>
                      </w:rPr>
                    </w:pPr>
                    <w:r w:rsidRPr="00907619">
                      <w:rPr>
                        <w:noProo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EB1B" w14:textId="4FBE57A7" w:rsidR="00907619" w:rsidRDefault="00907619" w:rsidP="00602FE5">
    <w:pPr>
      <w:pStyle w:val="Header"/>
    </w:pPr>
    <w:r>
      <w:rPr>
        <w:noProof/>
      </w:rPr>
      <mc:AlternateContent>
        <mc:Choice Requires="wps">
          <w:drawing>
            <wp:anchor distT="0" distB="0" distL="0" distR="0" simplePos="0" relativeHeight="251658240" behindDoc="0" locked="0" layoutInCell="1" allowOverlap="1" wp14:anchorId="54357B6F" wp14:editId="3529350A">
              <wp:simplePos x="635" y="635"/>
              <wp:positionH relativeFrom="page">
                <wp:align>center</wp:align>
              </wp:positionH>
              <wp:positionV relativeFrom="page">
                <wp:align>top</wp:align>
              </wp:positionV>
              <wp:extent cx="443865" cy="443865"/>
              <wp:effectExtent l="0" t="0" r="18415" b="1270"/>
              <wp:wrapNone/>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A52E36" w14:textId="37EA897C" w:rsidR="00907619" w:rsidRPr="00907619" w:rsidRDefault="00907619" w:rsidP="00602FE5">
                          <w:pPr>
                            <w:rPr>
                              <w:noProof/>
                            </w:rPr>
                          </w:pPr>
                          <w:r w:rsidRPr="00907619">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4357B6F" id="_x0000_t202" coordsize="21600,21600" o:spt="202" path="m,l,21600r21600,l21600,xe">
              <v:stroke joinstyle="miter"/>
              <v:path gradientshapeok="t" o:connecttype="rect"/>
            </v:shapetype>
            <v:shape id="Text Box 1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CA52E36" w14:textId="37EA897C" w:rsidR="00907619" w:rsidRPr="00907619" w:rsidRDefault="00907619" w:rsidP="00602FE5">
                    <w:pPr>
                      <w:rPr>
                        <w:noProof/>
                      </w:rPr>
                    </w:pPr>
                    <w:r w:rsidRPr="00907619">
                      <w:rPr>
                        <w:noProof/>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D47"/>
    <w:multiLevelType w:val="hybridMultilevel"/>
    <w:tmpl w:val="A76EA3F4"/>
    <w:lvl w:ilvl="0" w:tplc="64CA3810">
      <w:start w:val="1"/>
      <w:numFmt w:val="bullet"/>
      <w:lvlText w:val="•"/>
      <w:lvlJc w:val="left"/>
      <w:pPr>
        <w:tabs>
          <w:tab w:val="num" w:pos="720"/>
        </w:tabs>
        <w:ind w:left="720" w:hanging="360"/>
      </w:pPr>
      <w:rPr>
        <w:rFonts w:ascii="Arial" w:hAnsi="Arial" w:hint="default"/>
      </w:rPr>
    </w:lvl>
    <w:lvl w:ilvl="1" w:tplc="2DFECFEE">
      <w:start w:val="1"/>
      <w:numFmt w:val="bullet"/>
      <w:lvlText w:val="•"/>
      <w:lvlJc w:val="left"/>
      <w:pPr>
        <w:tabs>
          <w:tab w:val="num" w:pos="1440"/>
        </w:tabs>
        <w:ind w:left="1440" w:hanging="360"/>
      </w:pPr>
      <w:rPr>
        <w:rFonts w:ascii="Arial" w:hAnsi="Arial" w:hint="default"/>
      </w:rPr>
    </w:lvl>
    <w:lvl w:ilvl="2" w:tplc="8E06029C" w:tentative="1">
      <w:start w:val="1"/>
      <w:numFmt w:val="bullet"/>
      <w:lvlText w:val="•"/>
      <w:lvlJc w:val="left"/>
      <w:pPr>
        <w:tabs>
          <w:tab w:val="num" w:pos="2160"/>
        </w:tabs>
        <w:ind w:left="2160" w:hanging="360"/>
      </w:pPr>
      <w:rPr>
        <w:rFonts w:ascii="Arial" w:hAnsi="Arial" w:hint="default"/>
      </w:rPr>
    </w:lvl>
    <w:lvl w:ilvl="3" w:tplc="86CCACF6" w:tentative="1">
      <w:start w:val="1"/>
      <w:numFmt w:val="bullet"/>
      <w:lvlText w:val="•"/>
      <w:lvlJc w:val="left"/>
      <w:pPr>
        <w:tabs>
          <w:tab w:val="num" w:pos="2880"/>
        </w:tabs>
        <w:ind w:left="2880" w:hanging="360"/>
      </w:pPr>
      <w:rPr>
        <w:rFonts w:ascii="Arial" w:hAnsi="Arial" w:hint="default"/>
      </w:rPr>
    </w:lvl>
    <w:lvl w:ilvl="4" w:tplc="C8E46FC8" w:tentative="1">
      <w:start w:val="1"/>
      <w:numFmt w:val="bullet"/>
      <w:lvlText w:val="•"/>
      <w:lvlJc w:val="left"/>
      <w:pPr>
        <w:tabs>
          <w:tab w:val="num" w:pos="3600"/>
        </w:tabs>
        <w:ind w:left="3600" w:hanging="360"/>
      </w:pPr>
      <w:rPr>
        <w:rFonts w:ascii="Arial" w:hAnsi="Arial" w:hint="default"/>
      </w:rPr>
    </w:lvl>
    <w:lvl w:ilvl="5" w:tplc="A6DA7642" w:tentative="1">
      <w:start w:val="1"/>
      <w:numFmt w:val="bullet"/>
      <w:lvlText w:val="•"/>
      <w:lvlJc w:val="left"/>
      <w:pPr>
        <w:tabs>
          <w:tab w:val="num" w:pos="4320"/>
        </w:tabs>
        <w:ind w:left="4320" w:hanging="360"/>
      </w:pPr>
      <w:rPr>
        <w:rFonts w:ascii="Arial" w:hAnsi="Arial" w:hint="default"/>
      </w:rPr>
    </w:lvl>
    <w:lvl w:ilvl="6" w:tplc="44164E12" w:tentative="1">
      <w:start w:val="1"/>
      <w:numFmt w:val="bullet"/>
      <w:lvlText w:val="•"/>
      <w:lvlJc w:val="left"/>
      <w:pPr>
        <w:tabs>
          <w:tab w:val="num" w:pos="5040"/>
        </w:tabs>
        <w:ind w:left="5040" w:hanging="360"/>
      </w:pPr>
      <w:rPr>
        <w:rFonts w:ascii="Arial" w:hAnsi="Arial" w:hint="default"/>
      </w:rPr>
    </w:lvl>
    <w:lvl w:ilvl="7" w:tplc="6DD2885A" w:tentative="1">
      <w:start w:val="1"/>
      <w:numFmt w:val="bullet"/>
      <w:lvlText w:val="•"/>
      <w:lvlJc w:val="left"/>
      <w:pPr>
        <w:tabs>
          <w:tab w:val="num" w:pos="5760"/>
        </w:tabs>
        <w:ind w:left="5760" w:hanging="360"/>
      </w:pPr>
      <w:rPr>
        <w:rFonts w:ascii="Arial" w:hAnsi="Arial" w:hint="default"/>
      </w:rPr>
    </w:lvl>
    <w:lvl w:ilvl="8" w:tplc="8392E6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767BB0"/>
    <w:multiLevelType w:val="hybridMultilevel"/>
    <w:tmpl w:val="E9A62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003E4"/>
    <w:multiLevelType w:val="hybridMultilevel"/>
    <w:tmpl w:val="F2869FC4"/>
    <w:lvl w:ilvl="0" w:tplc="D4E60A52">
      <w:start w:val="1"/>
      <w:numFmt w:val="bullet"/>
      <w:lvlText w:val="•"/>
      <w:lvlJc w:val="left"/>
      <w:pPr>
        <w:tabs>
          <w:tab w:val="num" w:pos="720"/>
        </w:tabs>
        <w:ind w:left="720" w:hanging="360"/>
      </w:pPr>
      <w:rPr>
        <w:rFonts w:ascii="Arial" w:hAnsi="Arial" w:hint="default"/>
      </w:rPr>
    </w:lvl>
    <w:lvl w:ilvl="1" w:tplc="44062870">
      <w:start w:val="1"/>
      <w:numFmt w:val="bullet"/>
      <w:lvlText w:val="•"/>
      <w:lvlJc w:val="left"/>
      <w:pPr>
        <w:tabs>
          <w:tab w:val="num" w:pos="1440"/>
        </w:tabs>
        <w:ind w:left="1440" w:hanging="360"/>
      </w:pPr>
      <w:rPr>
        <w:rFonts w:ascii="Arial" w:hAnsi="Arial" w:hint="default"/>
      </w:rPr>
    </w:lvl>
    <w:lvl w:ilvl="2" w:tplc="AD9E07EE" w:tentative="1">
      <w:start w:val="1"/>
      <w:numFmt w:val="bullet"/>
      <w:lvlText w:val="•"/>
      <w:lvlJc w:val="left"/>
      <w:pPr>
        <w:tabs>
          <w:tab w:val="num" w:pos="2160"/>
        </w:tabs>
        <w:ind w:left="2160" w:hanging="360"/>
      </w:pPr>
      <w:rPr>
        <w:rFonts w:ascii="Arial" w:hAnsi="Arial" w:hint="default"/>
      </w:rPr>
    </w:lvl>
    <w:lvl w:ilvl="3" w:tplc="7C6234CE" w:tentative="1">
      <w:start w:val="1"/>
      <w:numFmt w:val="bullet"/>
      <w:lvlText w:val="•"/>
      <w:lvlJc w:val="left"/>
      <w:pPr>
        <w:tabs>
          <w:tab w:val="num" w:pos="2880"/>
        </w:tabs>
        <w:ind w:left="2880" w:hanging="360"/>
      </w:pPr>
      <w:rPr>
        <w:rFonts w:ascii="Arial" w:hAnsi="Arial" w:hint="default"/>
      </w:rPr>
    </w:lvl>
    <w:lvl w:ilvl="4" w:tplc="0ED67E2C" w:tentative="1">
      <w:start w:val="1"/>
      <w:numFmt w:val="bullet"/>
      <w:lvlText w:val="•"/>
      <w:lvlJc w:val="left"/>
      <w:pPr>
        <w:tabs>
          <w:tab w:val="num" w:pos="3600"/>
        </w:tabs>
        <w:ind w:left="3600" w:hanging="360"/>
      </w:pPr>
      <w:rPr>
        <w:rFonts w:ascii="Arial" w:hAnsi="Arial" w:hint="default"/>
      </w:rPr>
    </w:lvl>
    <w:lvl w:ilvl="5" w:tplc="DAB61FCA" w:tentative="1">
      <w:start w:val="1"/>
      <w:numFmt w:val="bullet"/>
      <w:lvlText w:val="•"/>
      <w:lvlJc w:val="left"/>
      <w:pPr>
        <w:tabs>
          <w:tab w:val="num" w:pos="4320"/>
        </w:tabs>
        <w:ind w:left="4320" w:hanging="360"/>
      </w:pPr>
      <w:rPr>
        <w:rFonts w:ascii="Arial" w:hAnsi="Arial" w:hint="default"/>
      </w:rPr>
    </w:lvl>
    <w:lvl w:ilvl="6" w:tplc="FCA4DF6E" w:tentative="1">
      <w:start w:val="1"/>
      <w:numFmt w:val="bullet"/>
      <w:lvlText w:val="•"/>
      <w:lvlJc w:val="left"/>
      <w:pPr>
        <w:tabs>
          <w:tab w:val="num" w:pos="5040"/>
        </w:tabs>
        <w:ind w:left="5040" w:hanging="360"/>
      </w:pPr>
      <w:rPr>
        <w:rFonts w:ascii="Arial" w:hAnsi="Arial" w:hint="default"/>
      </w:rPr>
    </w:lvl>
    <w:lvl w:ilvl="7" w:tplc="016CD724" w:tentative="1">
      <w:start w:val="1"/>
      <w:numFmt w:val="bullet"/>
      <w:lvlText w:val="•"/>
      <w:lvlJc w:val="left"/>
      <w:pPr>
        <w:tabs>
          <w:tab w:val="num" w:pos="5760"/>
        </w:tabs>
        <w:ind w:left="5760" w:hanging="360"/>
      </w:pPr>
      <w:rPr>
        <w:rFonts w:ascii="Arial" w:hAnsi="Arial" w:hint="default"/>
      </w:rPr>
    </w:lvl>
    <w:lvl w:ilvl="8" w:tplc="175ED5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561F6B"/>
    <w:multiLevelType w:val="hybridMultilevel"/>
    <w:tmpl w:val="FFE0D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572AB"/>
    <w:multiLevelType w:val="hybridMultilevel"/>
    <w:tmpl w:val="92683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3B2604"/>
    <w:multiLevelType w:val="hybridMultilevel"/>
    <w:tmpl w:val="1E3E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D12997"/>
    <w:multiLevelType w:val="hybridMultilevel"/>
    <w:tmpl w:val="5CA6B5D6"/>
    <w:lvl w:ilvl="0" w:tplc="4ECE9FA0">
      <w:start w:val="1"/>
      <w:numFmt w:val="bullet"/>
      <w:lvlText w:val="•"/>
      <w:lvlJc w:val="left"/>
      <w:pPr>
        <w:tabs>
          <w:tab w:val="num" w:pos="720"/>
        </w:tabs>
        <w:ind w:left="720" w:hanging="360"/>
      </w:pPr>
      <w:rPr>
        <w:rFonts w:ascii="Arial" w:hAnsi="Arial" w:hint="default"/>
      </w:rPr>
    </w:lvl>
    <w:lvl w:ilvl="1" w:tplc="4AA40498">
      <w:start w:val="1"/>
      <w:numFmt w:val="bullet"/>
      <w:lvlText w:val="•"/>
      <w:lvlJc w:val="left"/>
      <w:pPr>
        <w:tabs>
          <w:tab w:val="num" w:pos="1440"/>
        </w:tabs>
        <w:ind w:left="1440" w:hanging="360"/>
      </w:pPr>
      <w:rPr>
        <w:rFonts w:ascii="Arial" w:hAnsi="Arial" w:hint="default"/>
      </w:rPr>
    </w:lvl>
    <w:lvl w:ilvl="2" w:tplc="80BE829A" w:tentative="1">
      <w:start w:val="1"/>
      <w:numFmt w:val="bullet"/>
      <w:lvlText w:val="•"/>
      <w:lvlJc w:val="left"/>
      <w:pPr>
        <w:tabs>
          <w:tab w:val="num" w:pos="2160"/>
        </w:tabs>
        <w:ind w:left="2160" w:hanging="360"/>
      </w:pPr>
      <w:rPr>
        <w:rFonts w:ascii="Arial" w:hAnsi="Arial" w:hint="default"/>
      </w:rPr>
    </w:lvl>
    <w:lvl w:ilvl="3" w:tplc="D9FAFF52" w:tentative="1">
      <w:start w:val="1"/>
      <w:numFmt w:val="bullet"/>
      <w:lvlText w:val="•"/>
      <w:lvlJc w:val="left"/>
      <w:pPr>
        <w:tabs>
          <w:tab w:val="num" w:pos="2880"/>
        </w:tabs>
        <w:ind w:left="2880" w:hanging="360"/>
      </w:pPr>
      <w:rPr>
        <w:rFonts w:ascii="Arial" w:hAnsi="Arial" w:hint="default"/>
      </w:rPr>
    </w:lvl>
    <w:lvl w:ilvl="4" w:tplc="91B2E97E" w:tentative="1">
      <w:start w:val="1"/>
      <w:numFmt w:val="bullet"/>
      <w:lvlText w:val="•"/>
      <w:lvlJc w:val="left"/>
      <w:pPr>
        <w:tabs>
          <w:tab w:val="num" w:pos="3600"/>
        </w:tabs>
        <w:ind w:left="3600" w:hanging="360"/>
      </w:pPr>
      <w:rPr>
        <w:rFonts w:ascii="Arial" w:hAnsi="Arial" w:hint="default"/>
      </w:rPr>
    </w:lvl>
    <w:lvl w:ilvl="5" w:tplc="20D84C2E" w:tentative="1">
      <w:start w:val="1"/>
      <w:numFmt w:val="bullet"/>
      <w:lvlText w:val="•"/>
      <w:lvlJc w:val="left"/>
      <w:pPr>
        <w:tabs>
          <w:tab w:val="num" w:pos="4320"/>
        </w:tabs>
        <w:ind w:left="4320" w:hanging="360"/>
      </w:pPr>
      <w:rPr>
        <w:rFonts w:ascii="Arial" w:hAnsi="Arial" w:hint="default"/>
      </w:rPr>
    </w:lvl>
    <w:lvl w:ilvl="6" w:tplc="F9A4BD60" w:tentative="1">
      <w:start w:val="1"/>
      <w:numFmt w:val="bullet"/>
      <w:lvlText w:val="•"/>
      <w:lvlJc w:val="left"/>
      <w:pPr>
        <w:tabs>
          <w:tab w:val="num" w:pos="5040"/>
        </w:tabs>
        <w:ind w:left="5040" w:hanging="360"/>
      </w:pPr>
      <w:rPr>
        <w:rFonts w:ascii="Arial" w:hAnsi="Arial" w:hint="default"/>
      </w:rPr>
    </w:lvl>
    <w:lvl w:ilvl="7" w:tplc="C636A8D6" w:tentative="1">
      <w:start w:val="1"/>
      <w:numFmt w:val="bullet"/>
      <w:lvlText w:val="•"/>
      <w:lvlJc w:val="left"/>
      <w:pPr>
        <w:tabs>
          <w:tab w:val="num" w:pos="5760"/>
        </w:tabs>
        <w:ind w:left="5760" w:hanging="360"/>
      </w:pPr>
      <w:rPr>
        <w:rFonts w:ascii="Arial" w:hAnsi="Arial" w:hint="default"/>
      </w:rPr>
    </w:lvl>
    <w:lvl w:ilvl="8" w:tplc="866C4F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3D455E"/>
    <w:multiLevelType w:val="hybridMultilevel"/>
    <w:tmpl w:val="F47E4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4C217C"/>
    <w:multiLevelType w:val="hybridMultilevel"/>
    <w:tmpl w:val="734C9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544B54"/>
    <w:multiLevelType w:val="hybridMultilevel"/>
    <w:tmpl w:val="422E5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7F31D1"/>
    <w:multiLevelType w:val="hybridMultilevel"/>
    <w:tmpl w:val="654C730A"/>
    <w:lvl w:ilvl="0" w:tplc="AC7C99AE">
      <w:start w:val="1"/>
      <w:numFmt w:val="bullet"/>
      <w:pStyle w:val="Bullet"/>
      <w:lvlText w:val=""/>
      <w:lvlJc w:val="left"/>
      <w:pPr>
        <w:ind w:left="720" w:hanging="360"/>
      </w:pPr>
      <w:rPr>
        <w:rFonts w:ascii="Symbol" w:hAnsi="Symbol" w:hint="default"/>
      </w:rPr>
    </w:lvl>
    <w:lvl w:ilvl="1" w:tplc="CE809178">
      <w:start w:val="1"/>
      <w:numFmt w:val="bullet"/>
      <w:pStyle w:val="Bullet-Inden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890298"/>
    <w:multiLevelType w:val="hybridMultilevel"/>
    <w:tmpl w:val="45A89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90177"/>
    <w:multiLevelType w:val="hybridMultilevel"/>
    <w:tmpl w:val="C61A6E70"/>
    <w:lvl w:ilvl="0" w:tplc="37A2B370">
      <w:start w:val="1"/>
      <w:numFmt w:val="bullet"/>
      <w:lvlText w:val="•"/>
      <w:lvlJc w:val="left"/>
      <w:pPr>
        <w:tabs>
          <w:tab w:val="num" w:pos="720"/>
        </w:tabs>
        <w:ind w:left="720" w:hanging="360"/>
      </w:pPr>
      <w:rPr>
        <w:rFonts w:ascii="Arial" w:hAnsi="Arial" w:hint="default"/>
      </w:rPr>
    </w:lvl>
    <w:lvl w:ilvl="1" w:tplc="41EA2018">
      <w:start w:val="1"/>
      <w:numFmt w:val="bullet"/>
      <w:lvlText w:val="•"/>
      <w:lvlJc w:val="left"/>
      <w:pPr>
        <w:tabs>
          <w:tab w:val="num" w:pos="1440"/>
        </w:tabs>
        <w:ind w:left="1440" w:hanging="360"/>
      </w:pPr>
      <w:rPr>
        <w:rFonts w:ascii="Arial" w:hAnsi="Arial" w:hint="default"/>
      </w:rPr>
    </w:lvl>
    <w:lvl w:ilvl="2" w:tplc="B2363D22" w:tentative="1">
      <w:start w:val="1"/>
      <w:numFmt w:val="bullet"/>
      <w:lvlText w:val="•"/>
      <w:lvlJc w:val="left"/>
      <w:pPr>
        <w:tabs>
          <w:tab w:val="num" w:pos="2160"/>
        </w:tabs>
        <w:ind w:left="2160" w:hanging="360"/>
      </w:pPr>
      <w:rPr>
        <w:rFonts w:ascii="Arial" w:hAnsi="Arial" w:hint="default"/>
      </w:rPr>
    </w:lvl>
    <w:lvl w:ilvl="3" w:tplc="89EA7D94" w:tentative="1">
      <w:start w:val="1"/>
      <w:numFmt w:val="bullet"/>
      <w:lvlText w:val="•"/>
      <w:lvlJc w:val="left"/>
      <w:pPr>
        <w:tabs>
          <w:tab w:val="num" w:pos="2880"/>
        </w:tabs>
        <w:ind w:left="2880" w:hanging="360"/>
      </w:pPr>
      <w:rPr>
        <w:rFonts w:ascii="Arial" w:hAnsi="Arial" w:hint="default"/>
      </w:rPr>
    </w:lvl>
    <w:lvl w:ilvl="4" w:tplc="128E1634" w:tentative="1">
      <w:start w:val="1"/>
      <w:numFmt w:val="bullet"/>
      <w:lvlText w:val="•"/>
      <w:lvlJc w:val="left"/>
      <w:pPr>
        <w:tabs>
          <w:tab w:val="num" w:pos="3600"/>
        </w:tabs>
        <w:ind w:left="3600" w:hanging="360"/>
      </w:pPr>
      <w:rPr>
        <w:rFonts w:ascii="Arial" w:hAnsi="Arial" w:hint="default"/>
      </w:rPr>
    </w:lvl>
    <w:lvl w:ilvl="5" w:tplc="27E28F44" w:tentative="1">
      <w:start w:val="1"/>
      <w:numFmt w:val="bullet"/>
      <w:lvlText w:val="•"/>
      <w:lvlJc w:val="left"/>
      <w:pPr>
        <w:tabs>
          <w:tab w:val="num" w:pos="4320"/>
        </w:tabs>
        <w:ind w:left="4320" w:hanging="360"/>
      </w:pPr>
      <w:rPr>
        <w:rFonts w:ascii="Arial" w:hAnsi="Arial" w:hint="default"/>
      </w:rPr>
    </w:lvl>
    <w:lvl w:ilvl="6" w:tplc="994456BA" w:tentative="1">
      <w:start w:val="1"/>
      <w:numFmt w:val="bullet"/>
      <w:lvlText w:val="•"/>
      <w:lvlJc w:val="left"/>
      <w:pPr>
        <w:tabs>
          <w:tab w:val="num" w:pos="5040"/>
        </w:tabs>
        <w:ind w:left="5040" w:hanging="360"/>
      </w:pPr>
      <w:rPr>
        <w:rFonts w:ascii="Arial" w:hAnsi="Arial" w:hint="default"/>
      </w:rPr>
    </w:lvl>
    <w:lvl w:ilvl="7" w:tplc="9B36CC48" w:tentative="1">
      <w:start w:val="1"/>
      <w:numFmt w:val="bullet"/>
      <w:lvlText w:val="•"/>
      <w:lvlJc w:val="left"/>
      <w:pPr>
        <w:tabs>
          <w:tab w:val="num" w:pos="5760"/>
        </w:tabs>
        <w:ind w:left="5760" w:hanging="360"/>
      </w:pPr>
      <w:rPr>
        <w:rFonts w:ascii="Arial" w:hAnsi="Arial" w:hint="default"/>
      </w:rPr>
    </w:lvl>
    <w:lvl w:ilvl="8" w:tplc="6758FC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2071B0"/>
    <w:multiLevelType w:val="hybridMultilevel"/>
    <w:tmpl w:val="94248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A25C19"/>
    <w:multiLevelType w:val="hybridMultilevel"/>
    <w:tmpl w:val="CCC65684"/>
    <w:lvl w:ilvl="0" w:tplc="986AA9C4">
      <w:start w:val="1"/>
      <w:numFmt w:val="bullet"/>
      <w:lvlText w:val="•"/>
      <w:lvlJc w:val="left"/>
      <w:pPr>
        <w:tabs>
          <w:tab w:val="num" w:pos="720"/>
        </w:tabs>
        <w:ind w:left="720" w:hanging="360"/>
      </w:pPr>
      <w:rPr>
        <w:rFonts w:ascii="Arial" w:hAnsi="Arial" w:hint="default"/>
      </w:rPr>
    </w:lvl>
    <w:lvl w:ilvl="1" w:tplc="350A089C">
      <w:start w:val="1"/>
      <w:numFmt w:val="bullet"/>
      <w:lvlText w:val="•"/>
      <w:lvlJc w:val="left"/>
      <w:pPr>
        <w:tabs>
          <w:tab w:val="num" w:pos="1440"/>
        </w:tabs>
        <w:ind w:left="1440" w:hanging="360"/>
      </w:pPr>
      <w:rPr>
        <w:rFonts w:ascii="Arial" w:hAnsi="Arial" w:hint="default"/>
      </w:rPr>
    </w:lvl>
    <w:lvl w:ilvl="2" w:tplc="BC5EDD48" w:tentative="1">
      <w:start w:val="1"/>
      <w:numFmt w:val="bullet"/>
      <w:lvlText w:val="•"/>
      <w:lvlJc w:val="left"/>
      <w:pPr>
        <w:tabs>
          <w:tab w:val="num" w:pos="2160"/>
        </w:tabs>
        <w:ind w:left="2160" w:hanging="360"/>
      </w:pPr>
      <w:rPr>
        <w:rFonts w:ascii="Arial" w:hAnsi="Arial" w:hint="default"/>
      </w:rPr>
    </w:lvl>
    <w:lvl w:ilvl="3" w:tplc="CABC288E" w:tentative="1">
      <w:start w:val="1"/>
      <w:numFmt w:val="bullet"/>
      <w:lvlText w:val="•"/>
      <w:lvlJc w:val="left"/>
      <w:pPr>
        <w:tabs>
          <w:tab w:val="num" w:pos="2880"/>
        </w:tabs>
        <w:ind w:left="2880" w:hanging="360"/>
      </w:pPr>
      <w:rPr>
        <w:rFonts w:ascii="Arial" w:hAnsi="Arial" w:hint="default"/>
      </w:rPr>
    </w:lvl>
    <w:lvl w:ilvl="4" w:tplc="310852FE" w:tentative="1">
      <w:start w:val="1"/>
      <w:numFmt w:val="bullet"/>
      <w:lvlText w:val="•"/>
      <w:lvlJc w:val="left"/>
      <w:pPr>
        <w:tabs>
          <w:tab w:val="num" w:pos="3600"/>
        </w:tabs>
        <w:ind w:left="3600" w:hanging="360"/>
      </w:pPr>
      <w:rPr>
        <w:rFonts w:ascii="Arial" w:hAnsi="Arial" w:hint="default"/>
      </w:rPr>
    </w:lvl>
    <w:lvl w:ilvl="5" w:tplc="4AF87062" w:tentative="1">
      <w:start w:val="1"/>
      <w:numFmt w:val="bullet"/>
      <w:lvlText w:val="•"/>
      <w:lvlJc w:val="left"/>
      <w:pPr>
        <w:tabs>
          <w:tab w:val="num" w:pos="4320"/>
        </w:tabs>
        <w:ind w:left="4320" w:hanging="360"/>
      </w:pPr>
      <w:rPr>
        <w:rFonts w:ascii="Arial" w:hAnsi="Arial" w:hint="default"/>
      </w:rPr>
    </w:lvl>
    <w:lvl w:ilvl="6" w:tplc="E12E3DE4" w:tentative="1">
      <w:start w:val="1"/>
      <w:numFmt w:val="bullet"/>
      <w:lvlText w:val="•"/>
      <w:lvlJc w:val="left"/>
      <w:pPr>
        <w:tabs>
          <w:tab w:val="num" w:pos="5040"/>
        </w:tabs>
        <w:ind w:left="5040" w:hanging="360"/>
      </w:pPr>
      <w:rPr>
        <w:rFonts w:ascii="Arial" w:hAnsi="Arial" w:hint="default"/>
      </w:rPr>
    </w:lvl>
    <w:lvl w:ilvl="7" w:tplc="B804F216" w:tentative="1">
      <w:start w:val="1"/>
      <w:numFmt w:val="bullet"/>
      <w:lvlText w:val="•"/>
      <w:lvlJc w:val="left"/>
      <w:pPr>
        <w:tabs>
          <w:tab w:val="num" w:pos="5760"/>
        </w:tabs>
        <w:ind w:left="5760" w:hanging="360"/>
      </w:pPr>
      <w:rPr>
        <w:rFonts w:ascii="Arial" w:hAnsi="Arial" w:hint="default"/>
      </w:rPr>
    </w:lvl>
    <w:lvl w:ilvl="8" w:tplc="BBDC78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C26A5F"/>
    <w:multiLevelType w:val="hybridMultilevel"/>
    <w:tmpl w:val="22905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CF172F"/>
    <w:multiLevelType w:val="hybridMultilevel"/>
    <w:tmpl w:val="34D07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6C7735"/>
    <w:multiLevelType w:val="hybridMultilevel"/>
    <w:tmpl w:val="8FF2C17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A61838"/>
    <w:multiLevelType w:val="hybridMultilevel"/>
    <w:tmpl w:val="83A4A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7B29C4"/>
    <w:multiLevelType w:val="hybridMultilevel"/>
    <w:tmpl w:val="120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A62D79"/>
    <w:multiLevelType w:val="hybridMultilevel"/>
    <w:tmpl w:val="60FE6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A975A5"/>
    <w:multiLevelType w:val="hybridMultilevel"/>
    <w:tmpl w:val="022ED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E52B0E"/>
    <w:multiLevelType w:val="hybridMultilevel"/>
    <w:tmpl w:val="EC0AD892"/>
    <w:lvl w:ilvl="0" w:tplc="D50CBAD4">
      <w:start w:val="1"/>
      <w:numFmt w:val="decimal"/>
      <w:lvlText w:val="%1."/>
      <w:lvlJc w:val="left"/>
      <w:pPr>
        <w:tabs>
          <w:tab w:val="num" w:pos="720"/>
        </w:tabs>
        <w:ind w:left="720" w:hanging="360"/>
      </w:pPr>
    </w:lvl>
    <w:lvl w:ilvl="1" w:tplc="D55A6E7E">
      <w:start w:val="1"/>
      <w:numFmt w:val="decimal"/>
      <w:lvlText w:val="%2."/>
      <w:lvlJc w:val="left"/>
      <w:pPr>
        <w:tabs>
          <w:tab w:val="num" w:pos="1440"/>
        </w:tabs>
        <w:ind w:left="1440" w:hanging="360"/>
      </w:pPr>
    </w:lvl>
    <w:lvl w:ilvl="2" w:tplc="3F58A2DA" w:tentative="1">
      <w:start w:val="1"/>
      <w:numFmt w:val="decimal"/>
      <w:lvlText w:val="%3."/>
      <w:lvlJc w:val="left"/>
      <w:pPr>
        <w:tabs>
          <w:tab w:val="num" w:pos="2160"/>
        </w:tabs>
        <w:ind w:left="2160" w:hanging="360"/>
      </w:pPr>
    </w:lvl>
    <w:lvl w:ilvl="3" w:tplc="05641B0C" w:tentative="1">
      <w:start w:val="1"/>
      <w:numFmt w:val="decimal"/>
      <w:lvlText w:val="%4."/>
      <w:lvlJc w:val="left"/>
      <w:pPr>
        <w:tabs>
          <w:tab w:val="num" w:pos="2880"/>
        </w:tabs>
        <w:ind w:left="2880" w:hanging="360"/>
      </w:pPr>
    </w:lvl>
    <w:lvl w:ilvl="4" w:tplc="13F87B94" w:tentative="1">
      <w:start w:val="1"/>
      <w:numFmt w:val="decimal"/>
      <w:lvlText w:val="%5."/>
      <w:lvlJc w:val="left"/>
      <w:pPr>
        <w:tabs>
          <w:tab w:val="num" w:pos="3600"/>
        </w:tabs>
        <w:ind w:left="3600" w:hanging="360"/>
      </w:pPr>
    </w:lvl>
    <w:lvl w:ilvl="5" w:tplc="5FACB62A" w:tentative="1">
      <w:start w:val="1"/>
      <w:numFmt w:val="decimal"/>
      <w:lvlText w:val="%6."/>
      <w:lvlJc w:val="left"/>
      <w:pPr>
        <w:tabs>
          <w:tab w:val="num" w:pos="4320"/>
        </w:tabs>
        <w:ind w:left="4320" w:hanging="360"/>
      </w:pPr>
    </w:lvl>
    <w:lvl w:ilvl="6" w:tplc="E27C659C" w:tentative="1">
      <w:start w:val="1"/>
      <w:numFmt w:val="decimal"/>
      <w:lvlText w:val="%7."/>
      <w:lvlJc w:val="left"/>
      <w:pPr>
        <w:tabs>
          <w:tab w:val="num" w:pos="5040"/>
        </w:tabs>
        <w:ind w:left="5040" w:hanging="360"/>
      </w:pPr>
    </w:lvl>
    <w:lvl w:ilvl="7" w:tplc="6BECDD06" w:tentative="1">
      <w:start w:val="1"/>
      <w:numFmt w:val="decimal"/>
      <w:lvlText w:val="%8."/>
      <w:lvlJc w:val="left"/>
      <w:pPr>
        <w:tabs>
          <w:tab w:val="num" w:pos="5760"/>
        </w:tabs>
        <w:ind w:left="5760" w:hanging="360"/>
      </w:pPr>
    </w:lvl>
    <w:lvl w:ilvl="8" w:tplc="B558AA20" w:tentative="1">
      <w:start w:val="1"/>
      <w:numFmt w:val="decimal"/>
      <w:lvlText w:val="%9."/>
      <w:lvlJc w:val="left"/>
      <w:pPr>
        <w:tabs>
          <w:tab w:val="num" w:pos="6480"/>
        </w:tabs>
        <w:ind w:left="6480" w:hanging="360"/>
      </w:pPr>
    </w:lvl>
  </w:abstractNum>
  <w:abstractNum w:abstractNumId="23" w15:restartNumberingAfterBreak="0">
    <w:nsid w:val="5B3C5719"/>
    <w:multiLevelType w:val="hybridMultilevel"/>
    <w:tmpl w:val="4DB21DE0"/>
    <w:lvl w:ilvl="0" w:tplc="810E7AA4">
      <w:start w:val="1"/>
      <w:numFmt w:val="bullet"/>
      <w:lvlText w:val="•"/>
      <w:lvlJc w:val="left"/>
      <w:pPr>
        <w:tabs>
          <w:tab w:val="num" w:pos="720"/>
        </w:tabs>
        <w:ind w:left="720" w:hanging="360"/>
      </w:pPr>
      <w:rPr>
        <w:rFonts w:ascii="Arial" w:hAnsi="Arial" w:hint="default"/>
      </w:rPr>
    </w:lvl>
    <w:lvl w:ilvl="1" w:tplc="4A68E6C8">
      <w:start w:val="1"/>
      <w:numFmt w:val="bullet"/>
      <w:lvlText w:val="•"/>
      <w:lvlJc w:val="left"/>
      <w:pPr>
        <w:tabs>
          <w:tab w:val="num" w:pos="1440"/>
        </w:tabs>
        <w:ind w:left="1440" w:hanging="360"/>
      </w:pPr>
      <w:rPr>
        <w:rFonts w:ascii="Arial" w:hAnsi="Arial" w:hint="default"/>
      </w:rPr>
    </w:lvl>
    <w:lvl w:ilvl="2" w:tplc="022CD4FC">
      <w:numFmt w:val="bullet"/>
      <w:lvlText w:val="⚬"/>
      <w:lvlJc w:val="left"/>
      <w:pPr>
        <w:tabs>
          <w:tab w:val="num" w:pos="2160"/>
        </w:tabs>
        <w:ind w:left="2160" w:hanging="360"/>
      </w:pPr>
      <w:rPr>
        <w:rFonts w:ascii="Segoe UI Symbol" w:hAnsi="Segoe UI Symbol" w:hint="default"/>
      </w:rPr>
    </w:lvl>
    <w:lvl w:ilvl="3" w:tplc="43D4A39A" w:tentative="1">
      <w:start w:val="1"/>
      <w:numFmt w:val="bullet"/>
      <w:lvlText w:val="•"/>
      <w:lvlJc w:val="left"/>
      <w:pPr>
        <w:tabs>
          <w:tab w:val="num" w:pos="2880"/>
        </w:tabs>
        <w:ind w:left="2880" w:hanging="360"/>
      </w:pPr>
      <w:rPr>
        <w:rFonts w:ascii="Arial" w:hAnsi="Arial" w:hint="default"/>
      </w:rPr>
    </w:lvl>
    <w:lvl w:ilvl="4" w:tplc="C0FE8658" w:tentative="1">
      <w:start w:val="1"/>
      <w:numFmt w:val="bullet"/>
      <w:lvlText w:val="•"/>
      <w:lvlJc w:val="left"/>
      <w:pPr>
        <w:tabs>
          <w:tab w:val="num" w:pos="3600"/>
        </w:tabs>
        <w:ind w:left="3600" w:hanging="360"/>
      </w:pPr>
      <w:rPr>
        <w:rFonts w:ascii="Arial" w:hAnsi="Arial" w:hint="default"/>
      </w:rPr>
    </w:lvl>
    <w:lvl w:ilvl="5" w:tplc="71149628" w:tentative="1">
      <w:start w:val="1"/>
      <w:numFmt w:val="bullet"/>
      <w:lvlText w:val="•"/>
      <w:lvlJc w:val="left"/>
      <w:pPr>
        <w:tabs>
          <w:tab w:val="num" w:pos="4320"/>
        </w:tabs>
        <w:ind w:left="4320" w:hanging="360"/>
      </w:pPr>
      <w:rPr>
        <w:rFonts w:ascii="Arial" w:hAnsi="Arial" w:hint="default"/>
      </w:rPr>
    </w:lvl>
    <w:lvl w:ilvl="6" w:tplc="12D000B8" w:tentative="1">
      <w:start w:val="1"/>
      <w:numFmt w:val="bullet"/>
      <w:lvlText w:val="•"/>
      <w:lvlJc w:val="left"/>
      <w:pPr>
        <w:tabs>
          <w:tab w:val="num" w:pos="5040"/>
        </w:tabs>
        <w:ind w:left="5040" w:hanging="360"/>
      </w:pPr>
      <w:rPr>
        <w:rFonts w:ascii="Arial" w:hAnsi="Arial" w:hint="default"/>
      </w:rPr>
    </w:lvl>
    <w:lvl w:ilvl="7" w:tplc="FBA2354A" w:tentative="1">
      <w:start w:val="1"/>
      <w:numFmt w:val="bullet"/>
      <w:lvlText w:val="•"/>
      <w:lvlJc w:val="left"/>
      <w:pPr>
        <w:tabs>
          <w:tab w:val="num" w:pos="5760"/>
        </w:tabs>
        <w:ind w:left="5760" w:hanging="360"/>
      </w:pPr>
      <w:rPr>
        <w:rFonts w:ascii="Arial" w:hAnsi="Arial" w:hint="default"/>
      </w:rPr>
    </w:lvl>
    <w:lvl w:ilvl="8" w:tplc="A25E9E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0435BB"/>
    <w:multiLevelType w:val="hybridMultilevel"/>
    <w:tmpl w:val="05144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3C3845"/>
    <w:multiLevelType w:val="hybridMultilevel"/>
    <w:tmpl w:val="E92CB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FB6731"/>
    <w:multiLevelType w:val="hybridMultilevel"/>
    <w:tmpl w:val="2454F576"/>
    <w:lvl w:ilvl="0" w:tplc="750268AC">
      <w:start w:val="1"/>
      <w:numFmt w:val="bullet"/>
      <w:lvlText w:val="•"/>
      <w:lvlJc w:val="left"/>
      <w:pPr>
        <w:tabs>
          <w:tab w:val="num" w:pos="720"/>
        </w:tabs>
        <w:ind w:left="720" w:hanging="360"/>
      </w:pPr>
      <w:rPr>
        <w:rFonts w:ascii="Arial" w:hAnsi="Arial" w:hint="default"/>
      </w:rPr>
    </w:lvl>
    <w:lvl w:ilvl="1" w:tplc="18B0A060">
      <w:start w:val="1"/>
      <w:numFmt w:val="bullet"/>
      <w:lvlText w:val="•"/>
      <w:lvlJc w:val="left"/>
      <w:pPr>
        <w:tabs>
          <w:tab w:val="num" w:pos="1440"/>
        </w:tabs>
        <w:ind w:left="1440" w:hanging="360"/>
      </w:pPr>
      <w:rPr>
        <w:rFonts w:ascii="Arial" w:hAnsi="Arial" w:hint="default"/>
      </w:rPr>
    </w:lvl>
    <w:lvl w:ilvl="2" w:tplc="2F94BE38">
      <w:numFmt w:val="bullet"/>
      <w:lvlText w:val="⚬"/>
      <w:lvlJc w:val="left"/>
      <w:pPr>
        <w:tabs>
          <w:tab w:val="num" w:pos="2160"/>
        </w:tabs>
        <w:ind w:left="2160" w:hanging="360"/>
      </w:pPr>
      <w:rPr>
        <w:rFonts w:ascii="Segoe UI Symbol" w:hAnsi="Segoe UI Symbol" w:hint="default"/>
      </w:rPr>
    </w:lvl>
    <w:lvl w:ilvl="3" w:tplc="1730E340" w:tentative="1">
      <w:start w:val="1"/>
      <w:numFmt w:val="bullet"/>
      <w:lvlText w:val="•"/>
      <w:lvlJc w:val="left"/>
      <w:pPr>
        <w:tabs>
          <w:tab w:val="num" w:pos="2880"/>
        </w:tabs>
        <w:ind w:left="2880" w:hanging="360"/>
      </w:pPr>
      <w:rPr>
        <w:rFonts w:ascii="Arial" w:hAnsi="Arial" w:hint="default"/>
      </w:rPr>
    </w:lvl>
    <w:lvl w:ilvl="4" w:tplc="98AC6C18" w:tentative="1">
      <w:start w:val="1"/>
      <w:numFmt w:val="bullet"/>
      <w:lvlText w:val="•"/>
      <w:lvlJc w:val="left"/>
      <w:pPr>
        <w:tabs>
          <w:tab w:val="num" w:pos="3600"/>
        </w:tabs>
        <w:ind w:left="3600" w:hanging="360"/>
      </w:pPr>
      <w:rPr>
        <w:rFonts w:ascii="Arial" w:hAnsi="Arial" w:hint="default"/>
      </w:rPr>
    </w:lvl>
    <w:lvl w:ilvl="5" w:tplc="5D0883D6" w:tentative="1">
      <w:start w:val="1"/>
      <w:numFmt w:val="bullet"/>
      <w:lvlText w:val="•"/>
      <w:lvlJc w:val="left"/>
      <w:pPr>
        <w:tabs>
          <w:tab w:val="num" w:pos="4320"/>
        </w:tabs>
        <w:ind w:left="4320" w:hanging="360"/>
      </w:pPr>
      <w:rPr>
        <w:rFonts w:ascii="Arial" w:hAnsi="Arial" w:hint="default"/>
      </w:rPr>
    </w:lvl>
    <w:lvl w:ilvl="6" w:tplc="3E9C4D60" w:tentative="1">
      <w:start w:val="1"/>
      <w:numFmt w:val="bullet"/>
      <w:lvlText w:val="•"/>
      <w:lvlJc w:val="left"/>
      <w:pPr>
        <w:tabs>
          <w:tab w:val="num" w:pos="5040"/>
        </w:tabs>
        <w:ind w:left="5040" w:hanging="360"/>
      </w:pPr>
      <w:rPr>
        <w:rFonts w:ascii="Arial" w:hAnsi="Arial" w:hint="default"/>
      </w:rPr>
    </w:lvl>
    <w:lvl w:ilvl="7" w:tplc="E9BA186A" w:tentative="1">
      <w:start w:val="1"/>
      <w:numFmt w:val="bullet"/>
      <w:lvlText w:val="•"/>
      <w:lvlJc w:val="left"/>
      <w:pPr>
        <w:tabs>
          <w:tab w:val="num" w:pos="5760"/>
        </w:tabs>
        <w:ind w:left="5760" w:hanging="360"/>
      </w:pPr>
      <w:rPr>
        <w:rFonts w:ascii="Arial" w:hAnsi="Arial" w:hint="default"/>
      </w:rPr>
    </w:lvl>
    <w:lvl w:ilvl="8" w:tplc="0A1E985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4A78E4"/>
    <w:multiLevelType w:val="hybridMultilevel"/>
    <w:tmpl w:val="125E0450"/>
    <w:lvl w:ilvl="0" w:tplc="B5F4EC5E">
      <w:start w:val="1"/>
      <w:numFmt w:val="bullet"/>
      <w:lvlText w:val="•"/>
      <w:lvlJc w:val="left"/>
      <w:pPr>
        <w:tabs>
          <w:tab w:val="num" w:pos="720"/>
        </w:tabs>
        <w:ind w:left="720" w:hanging="360"/>
      </w:pPr>
      <w:rPr>
        <w:rFonts w:ascii="Arial" w:hAnsi="Arial" w:hint="default"/>
      </w:rPr>
    </w:lvl>
    <w:lvl w:ilvl="1" w:tplc="61A0C356">
      <w:start w:val="1"/>
      <w:numFmt w:val="bullet"/>
      <w:lvlText w:val="•"/>
      <w:lvlJc w:val="left"/>
      <w:pPr>
        <w:tabs>
          <w:tab w:val="num" w:pos="1440"/>
        </w:tabs>
        <w:ind w:left="1440" w:hanging="360"/>
      </w:pPr>
      <w:rPr>
        <w:rFonts w:ascii="Arial" w:hAnsi="Arial" w:hint="default"/>
      </w:rPr>
    </w:lvl>
    <w:lvl w:ilvl="2" w:tplc="2CECA920" w:tentative="1">
      <w:start w:val="1"/>
      <w:numFmt w:val="bullet"/>
      <w:lvlText w:val="•"/>
      <w:lvlJc w:val="left"/>
      <w:pPr>
        <w:tabs>
          <w:tab w:val="num" w:pos="2160"/>
        </w:tabs>
        <w:ind w:left="2160" w:hanging="360"/>
      </w:pPr>
      <w:rPr>
        <w:rFonts w:ascii="Arial" w:hAnsi="Arial" w:hint="default"/>
      </w:rPr>
    </w:lvl>
    <w:lvl w:ilvl="3" w:tplc="CA8CE514" w:tentative="1">
      <w:start w:val="1"/>
      <w:numFmt w:val="bullet"/>
      <w:lvlText w:val="•"/>
      <w:lvlJc w:val="left"/>
      <w:pPr>
        <w:tabs>
          <w:tab w:val="num" w:pos="2880"/>
        </w:tabs>
        <w:ind w:left="2880" w:hanging="360"/>
      </w:pPr>
      <w:rPr>
        <w:rFonts w:ascii="Arial" w:hAnsi="Arial" w:hint="default"/>
      </w:rPr>
    </w:lvl>
    <w:lvl w:ilvl="4" w:tplc="BAA02478" w:tentative="1">
      <w:start w:val="1"/>
      <w:numFmt w:val="bullet"/>
      <w:lvlText w:val="•"/>
      <w:lvlJc w:val="left"/>
      <w:pPr>
        <w:tabs>
          <w:tab w:val="num" w:pos="3600"/>
        </w:tabs>
        <w:ind w:left="3600" w:hanging="360"/>
      </w:pPr>
      <w:rPr>
        <w:rFonts w:ascii="Arial" w:hAnsi="Arial" w:hint="default"/>
      </w:rPr>
    </w:lvl>
    <w:lvl w:ilvl="5" w:tplc="7902C9B6" w:tentative="1">
      <w:start w:val="1"/>
      <w:numFmt w:val="bullet"/>
      <w:lvlText w:val="•"/>
      <w:lvlJc w:val="left"/>
      <w:pPr>
        <w:tabs>
          <w:tab w:val="num" w:pos="4320"/>
        </w:tabs>
        <w:ind w:left="4320" w:hanging="360"/>
      </w:pPr>
      <w:rPr>
        <w:rFonts w:ascii="Arial" w:hAnsi="Arial" w:hint="default"/>
      </w:rPr>
    </w:lvl>
    <w:lvl w:ilvl="6" w:tplc="D26C1924" w:tentative="1">
      <w:start w:val="1"/>
      <w:numFmt w:val="bullet"/>
      <w:lvlText w:val="•"/>
      <w:lvlJc w:val="left"/>
      <w:pPr>
        <w:tabs>
          <w:tab w:val="num" w:pos="5040"/>
        </w:tabs>
        <w:ind w:left="5040" w:hanging="360"/>
      </w:pPr>
      <w:rPr>
        <w:rFonts w:ascii="Arial" w:hAnsi="Arial" w:hint="default"/>
      </w:rPr>
    </w:lvl>
    <w:lvl w:ilvl="7" w:tplc="DF287CCA" w:tentative="1">
      <w:start w:val="1"/>
      <w:numFmt w:val="bullet"/>
      <w:lvlText w:val="•"/>
      <w:lvlJc w:val="left"/>
      <w:pPr>
        <w:tabs>
          <w:tab w:val="num" w:pos="5760"/>
        </w:tabs>
        <w:ind w:left="5760" w:hanging="360"/>
      </w:pPr>
      <w:rPr>
        <w:rFonts w:ascii="Arial" w:hAnsi="Arial" w:hint="default"/>
      </w:rPr>
    </w:lvl>
    <w:lvl w:ilvl="8" w:tplc="C2BADDE8" w:tentative="1">
      <w:start w:val="1"/>
      <w:numFmt w:val="bullet"/>
      <w:lvlText w:val="•"/>
      <w:lvlJc w:val="left"/>
      <w:pPr>
        <w:tabs>
          <w:tab w:val="num" w:pos="6480"/>
        </w:tabs>
        <w:ind w:left="6480" w:hanging="360"/>
      </w:pPr>
      <w:rPr>
        <w:rFonts w:ascii="Arial" w:hAnsi="Arial" w:hint="default"/>
      </w:rPr>
    </w:lvl>
  </w:abstractNum>
  <w:num w:numId="1" w16cid:durableId="820316895">
    <w:abstractNumId w:val="13"/>
  </w:num>
  <w:num w:numId="2" w16cid:durableId="1991666792">
    <w:abstractNumId w:val="2"/>
  </w:num>
  <w:num w:numId="3" w16cid:durableId="1763838296">
    <w:abstractNumId w:val="7"/>
  </w:num>
  <w:num w:numId="4" w16cid:durableId="322006455">
    <w:abstractNumId w:val="26"/>
  </w:num>
  <w:num w:numId="5" w16cid:durableId="1013068522">
    <w:abstractNumId w:val="3"/>
  </w:num>
  <w:num w:numId="6" w16cid:durableId="1313636301">
    <w:abstractNumId w:val="6"/>
  </w:num>
  <w:num w:numId="7" w16cid:durableId="852450307">
    <w:abstractNumId w:val="8"/>
  </w:num>
  <w:num w:numId="8" w16cid:durableId="1829202308">
    <w:abstractNumId w:val="12"/>
  </w:num>
  <w:num w:numId="9" w16cid:durableId="767241440">
    <w:abstractNumId w:val="18"/>
  </w:num>
  <w:num w:numId="10" w16cid:durableId="1478760105">
    <w:abstractNumId w:val="27"/>
  </w:num>
  <w:num w:numId="11" w16cid:durableId="567496124">
    <w:abstractNumId w:val="25"/>
  </w:num>
  <w:num w:numId="12" w16cid:durableId="2113739367">
    <w:abstractNumId w:val="23"/>
  </w:num>
  <w:num w:numId="13" w16cid:durableId="194008847">
    <w:abstractNumId w:val="9"/>
  </w:num>
  <w:num w:numId="14" w16cid:durableId="97143503">
    <w:abstractNumId w:val="0"/>
  </w:num>
  <w:num w:numId="15" w16cid:durableId="365910140">
    <w:abstractNumId w:val="21"/>
  </w:num>
  <w:num w:numId="16" w16cid:durableId="482086024">
    <w:abstractNumId w:val="14"/>
  </w:num>
  <w:num w:numId="17" w16cid:durableId="1568803438">
    <w:abstractNumId w:val="19"/>
  </w:num>
  <w:num w:numId="18" w16cid:durableId="1696074112">
    <w:abstractNumId w:val="22"/>
  </w:num>
  <w:num w:numId="19" w16cid:durableId="2133132488">
    <w:abstractNumId w:val="17"/>
  </w:num>
  <w:num w:numId="20" w16cid:durableId="284237144">
    <w:abstractNumId w:val="16"/>
  </w:num>
  <w:num w:numId="21" w16cid:durableId="1684166374">
    <w:abstractNumId w:val="11"/>
  </w:num>
  <w:num w:numId="22" w16cid:durableId="258875210">
    <w:abstractNumId w:val="20"/>
  </w:num>
  <w:num w:numId="23" w16cid:durableId="440416736">
    <w:abstractNumId w:val="5"/>
  </w:num>
  <w:num w:numId="24" w16cid:durableId="1929844189">
    <w:abstractNumId w:val="1"/>
  </w:num>
  <w:num w:numId="25" w16cid:durableId="1844540696">
    <w:abstractNumId w:val="15"/>
  </w:num>
  <w:num w:numId="26" w16cid:durableId="2008554501">
    <w:abstractNumId w:val="24"/>
  </w:num>
  <w:num w:numId="27" w16cid:durableId="423647467">
    <w:abstractNumId w:val="10"/>
  </w:num>
  <w:num w:numId="28" w16cid:durableId="270824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DA"/>
    <w:rsid w:val="00004D48"/>
    <w:rsid w:val="00014457"/>
    <w:rsid w:val="000171F9"/>
    <w:rsid w:val="00027DB0"/>
    <w:rsid w:val="000437B8"/>
    <w:rsid w:val="00071B08"/>
    <w:rsid w:val="00075B2C"/>
    <w:rsid w:val="00081396"/>
    <w:rsid w:val="00086FB3"/>
    <w:rsid w:val="000B0639"/>
    <w:rsid w:val="000C36AC"/>
    <w:rsid w:val="000C5BAE"/>
    <w:rsid w:val="000D0A0E"/>
    <w:rsid w:val="000E685D"/>
    <w:rsid w:val="001115AD"/>
    <w:rsid w:val="001202C1"/>
    <w:rsid w:val="00137A52"/>
    <w:rsid w:val="00143879"/>
    <w:rsid w:val="00144E6C"/>
    <w:rsid w:val="00151301"/>
    <w:rsid w:val="00192B16"/>
    <w:rsid w:val="00194B6F"/>
    <w:rsid w:val="001A4475"/>
    <w:rsid w:val="001A79BB"/>
    <w:rsid w:val="001B7999"/>
    <w:rsid w:val="001C07C6"/>
    <w:rsid w:val="001C5FC1"/>
    <w:rsid w:val="001D5F70"/>
    <w:rsid w:val="001D7C0E"/>
    <w:rsid w:val="001F0740"/>
    <w:rsid w:val="001F7DFE"/>
    <w:rsid w:val="00200A8A"/>
    <w:rsid w:val="00201115"/>
    <w:rsid w:val="00205051"/>
    <w:rsid w:val="00206725"/>
    <w:rsid w:val="00206F21"/>
    <w:rsid w:val="00207DDD"/>
    <w:rsid w:val="0021740E"/>
    <w:rsid w:val="00217E82"/>
    <w:rsid w:val="00220D7F"/>
    <w:rsid w:val="00231EBA"/>
    <w:rsid w:val="00242664"/>
    <w:rsid w:val="0025189E"/>
    <w:rsid w:val="00260D1B"/>
    <w:rsid w:val="002643B0"/>
    <w:rsid w:val="00266FC2"/>
    <w:rsid w:val="0026750C"/>
    <w:rsid w:val="002812D4"/>
    <w:rsid w:val="00286003"/>
    <w:rsid w:val="002B3B2F"/>
    <w:rsid w:val="002C024A"/>
    <w:rsid w:val="002D4BBB"/>
    <w:rsid w:val="002E78A1"/>
    <w:rsid w:val="002F43AA"/>
    <w:rsid w:val="002F5F3E"/>
    <w:rsid w:val="00307F5E"/>
    <w:rsid w:val="00313616"/>
    <w:rsid w:val="00322ABB"/>
    <w:rsid w:val="00334A4D"/>
    <w:rsid w:val="00351596"/>
    <w:rsid w:val="003519D7"/>
    <w:rsid w:val="003521D0"/>
    <w:rsid w:val="00384032"/>
    <w:rsid w:val="00392AAF"/>
    <w:rsid w:val="00392BE6"/>
    <w:rsid w:val="003A0C0C"/>
    <w:rsid w:val="003A10B9"/>
    <w:rsid w:val="003A45C1"/>
    <w:rsid w:val="003A4D37"/>
    <w:rsid w:val="003A5C72"/>
    <w:rsid w:val="003B0279"/>
    <w:rsid w:val="003B68CC"/>
    <w:rsid w:val="003D29A5"/>
    <w:rsid w:val="003E0F1C"/>
    <w:rsid w:val="003E3126"/>
    <w:rsid w:val="003E4A68"/>
    <w:rsid w:val="004007D8"/>
    <w:rsid w:val="004062FC"/>
    <w:rsid w:val="00412E0F"/>
    <w:rsid w:val="004546A3"/>
    <w:rsid w:val="00466133"/>
    <w:rsid w:val="0047075B"/>
    <w:rsid w:val="00485C8D"/>
    <w:rsid w:val="0049707E"/>
    <w:rsid w:val="004A0DDA"/>
    <w:rsid w:val="004A60C1"/>
    <w:rsid w:val="004B4E47"/>
    <w:rsid w:val="004D0FF6"/>
    <w:rsid w:val="004D771F"/>
    <w:rsid w:val="004E7A3F"/>
    <w:rsid w:val="004F462D"/>
    <w:rsid w:val="004F5430"/>
    <w:rsid w:val="004F746D"/>
    <w:rsid w:val="00501C22"/>
    <w:rsid w:val="005056C3"/>
    <w:rsid w:val="005062A1"/>
    <w:rsid w:val="00506BCE"/>
    <w:rsid w:val="00510C16"/>
    <w:rsid w:val="00514F9F"/>
    <w:rsid w:val="00527CCB"/>
    <w:rsid w:val="005316D1"/>
    <w:rsid w:val="005364DE"/>
    <w:rsid w:val="00540A8E"/>
    <w:rsid w:val="00556A27"/>
    <w:rsid w:val="005620B5"/>
    <w:rsid w:val="00566032"/>
    <w:rsid w:val="00567DF4"/>
    <w:rsid w:val="00572B45"/>
    <w:rsid w:val="005775E3"/>
    <w:rsid w:val="00582E63"/>
    <w:rsid w:val="0058391E"/>
    <w:rsid w:val="00583CA6"/>
    <w:rsid w:val="0058514A"/>
    <w:rsid w:val="00585665"/>
    <w:rsid w:val="005930D8"/>
    <w:rsid w:val="005B38C9"/>
    <w:rsid w:val="005B5E7D"/>
    <w:rsid w:val="005C1881"/>
    <w:rsid w:val="005E47A3"/>
    <w:rsid w:val="005F3B67"/>
    <w:rsid w:val="005F6224"/>
    <w:rsid w:val="00602FE5"/>
    <w:rsid w:val="006105C4"/>
    <w:rsid w:val="00620C20"/>
    <w:rsid w:val="0062175E"/>
    <w:rsid w:val="006224C6"/>
    <w:rsid w:val="00641B4B"/>
    <w:rsid w:val="00643E29"/>
    <w:rsid w:val="006471D0"/>
    <w:rsid w:val="006602A7"/>
    <w:rsid w:val="00683272"/>
    <w:rsid w:val="0068774C"/>
    <w:rsid w:val="00687CCF"/>
    <w:rsid w:val="00690A52"/>
    <w:rsid w:val="006A52AD"/>
    <w:rsid w:val="006A646F"/>
    <w:rsid w:val="006B156B"/>
    <w:rsid w:val="006B6D36"/>
    <w:rsid w:val="006C4E5B"/>
    <w:rsid w:val="006C6EBE"/>
    <w:rsid w:val="006F3E77"/>
    <w:rsid w:val="006F3ECF"/>
    <w:rsid w:val="00716AB7"/>
    <w:rsid w:val="00716F28"/>
    <w:rsid w:val="0073435C"/>
    <w:rsid w:val="00754A9F"/>
    <w:rsid w:val="00756372"/>
    <w:rsid w:val="00757EFC"/>
    <w:rsid w:val="007607B8"/>
    <w:rsid w:val="00760DD8"/>
    <w:rsid w:val="00762CE6"/>
    <w:rsid w:val="00771B3F"/>
    <w:rsid w:val="00795207"/>
    <w:rsid w:val="0079524F"/>
    <w:rsid w:val="00796A82"/>
    <w:rsid w:val="00797395"/>
    <w:rsid w:val="007A4D18"/>
    <w:rsid w:val="007E6F8B"/>
    <w:rsid w:val="00803622"/>
    <w:rsid w:val="0080449D"/>
    <w:rsid w:val="00805483"/>
    <w:rsid w:val="008216A8"/>
    <w:rsid w:val="00825237"/>
    <w:rsid w:val="00826900"/>
    <w:rsid w:val="008465CB"/>
    <w:rsid w:val="00856033"/>
    <w:rsid w:val="0086551B"/>
    <w:rsid w:val="008800B7"/>
    <w:rsid w:val="00887570"/>
    <w:rsid w:val="00887A44"/>
    <w:rsid w:val="008925BA"/>
    <w:rsid w:val="00894829"/>
    <w:rsid w:val="008975EC"/>
    <w:rsid w:val="008B58B4"/>
    <w:rsid w:val="008B6791"/>
    <w:rsid w:val="008D292C"/>
    <w:rsid w:val="008F1C65"/>
    <w:rsid w:val="008F706D"/>
    <w:rsid w:val="00907619"/>
    <w:rsid w:val="009100A8"/>
    <w:rsid w:val="00916687"/>
    <w:rsid w:val="00920ABA"/>
    <w:rsid w:val="00927348"/>
    <w:rsid w:val="00932D3C"/>
    <w:rsid w:val="00945490"/>
    <w:rsid w:val="00950B6E"/>
    <w:rsid w:val="00962214"/>
    <w:rsid w:val="00965B22"/>
    <w:rsid w:val="009970CF"/>
    <w:rsid w:val="009A1A48"/>
    <w:rsid w:val="009A4222"/>
    <w:rsid w:val="009B3AF5"/>
    <w:rsid w:val="009C69A5"/>
    <w:rsid w:val="009D2567"/>
    <w:rsid w:val="009D3FA6"/>
    <w:rsid w:val="009E2159"/>
    <w:rsid w:val="009E554E"/>
    <w:rsid w:val="009F1E14"/>
    <w:rsid w:val="00A006A1"/>
    <w:rsid w:val="00A23473"/>
    <w:rsid w:val="00A24357"/>
    <w:rsid w:val="00A41E00"/>
    <w:rsid w:val="00A43B19"/>
    <w:rsid w:val="00A44099"/>
    <w:rsid w:val="00A52FC4"/>
    <w:rsid w:val="00A60979"/>
    <w:rsid w:val="00A61E71"/>
    <w:rsid w:val="00A71C6D"/>
    <w:rsid w:val="00A855A6"/>
    <w:rsid w:val="00A92AAD"/>
    <w:rsid w:val="00AA4B8D"/>
    <w:rsid w:val="00AB0DB3"/>
    <w:rsid w:val="00AD0E54"/>
    <w:rsid w:val="00AD495B"/>
    <w:rsid w:val="00AD5826"/>
    <w:rsid w:val="00AE771C"/>
    <w:rsid w:val="00B02973"/>
    <w:rsid w:val="00B069A1"/>
    <w:rsid w:val="00B305D3"/>
    <w:rsid w:val="00B31420"/>
    <w:rsid w:val="00B3787D"/>
    <w:rsid w:val="00B43E7D"/>
    <w:rsid w:val="00B9668E"/>
    <w:rsid w:val="00BA0A0B"/>
    <w:rsid w:val="00BB54D8"/>
    <w:rsid w:val="00BC2F9B"/>
    <w:rsid w:val="00BF2A06"/>
    <w:rsid w:val="00C26AB1"/>
    <w:rsid w:val="00C341D9"/>
    <w:rsid w:val="00C447EC"/>
    <w:rsid w:val="00C46785"/>
    <w:rsid w:val="00C46A8D"/>
    <w:rsid w:val="00C6030A"/>
    <w:rsid w:val="00C63438"/>
    <w:rsid w:val="00C646DA"/>
    <w:rsid w:val="00C731CD"/>
    <w:rsid w:val="00C76FA1"/>
    <w:rsid w:val="00C86B0E"/>
    <w:rsid w:val="00C86EDC"/>
    <w:rsid w:val="00C963A8"/>
    <w:rsid w:val="00C96841"/>
    <w:rsid w:val="00C97A6F"/>
    <w:rsid w:val="00CA0BF4"/>
    <w:rsid w:val="00CA3ADF"/>
    <w:rsid w:val="00CB7278"/>
    <w:rsid w:val="00CC21E5"/>
    <w:rsid w:val="00CC5F47"/>
    <w:rsid w:val="00CD2443"/>
    <w:rsid w:val="00CE4DFC"/>
    <w:rsid w:val="00CE5256"/>
    <w:rsid w:val="00CF1347"/>
    <w:rsid w:val="00CF28A4"/>
    <w:rsid w:val="00D014D1"/>
    <w:rsid w:val="00D060E6"/>
    <w:rsid w:val="00D178E0"/>
    <w:rsid w:val="00D21B00"/>
    <w:rsid w:val="00D3184C"/>
    <w:rsid w:val="00D35F05"/>
    <w:rsid w:val="00D860FD"/>
    <w:rsid w:val="00D96376"/>
    <w:rsid w:val="00D96DC4"/>
    <w:rsid w:val="00D97A0D"/>
    <w:rsid w:val="00DB2EEB"/>
    <w:rsid w:val="00DC7348"/>
    <w:rsid w:val="00DD0E3A"/>
    <w:rsid w:val="00DD3D7A"/>
    <w:rsid w:val="00DF195D"/>
    <w:rsid w:val="00DF254F"/>
    <w:rsid w:val="00DF39A7"/>
    <w:rsid w:val="00E00DC3"/>
    <w:rsid w:val="00E0524D"/>
    <w:rsid w:val="00E107C0"/>
    <w:rsid w:val="00E146D8"/>
    <w:rsid w:val="00E14D57"/>
    <w:rsid w:val="00E2048F"/>
    <w:rsid w:val="00E23166"/>
    <w:rsid w:val="00E241B2"/>
    <w:rsid w:val="00E31F48"/>
    <w:rsid w:val="00E33FD8"/>
    <w:rsid w:val="00E50B8C"/>
    <w:rsid w:val="00E71F19"/>
    <w:rsid w:val="00E7333F"/>
    <w:rsid w:val="00E80E2C"/>
    <w:rsid w:val="00E85190"/>
    <w:rsid w:val="00EA0112"/>
    <w:rsid w:val="00EA3A46"/>
    <w:rsid w:val="00ED5963"/>
    <w:rsid w:val="00ED745E"/>
    <w:rsid w:val="00EF315C"/>
    <w:rsid w:val="00EF7BEB"/>
    <w:rsid w:val="00F04E9D"/>
    <w:rsid w:val="00F162FB"/>
    <w:rsid w:val="00F23CC9"/>
    <w:rsid w:val="00F3310B"/>
    <w:rsid w:val="00F37118"/>
    <w:rsid w:val="00F410EA"/>
    <w:rsid w:val="00F55709"/>
    <w:rsid w:val="00F73ADA"/>
    <w:rsid w:val="00F83071"/>
    <w:rsid w:val="00F91535"/>
    <w:rsid w:val="00F92814"/>
    <w:rsid w:val="00FA5353"/>
    <w:rsid w:val="00FB2F8E"/>
    <w:rsid w:val="00FB6D9B"/>
    <w:rsid w:val="00FC21EE"/>
    <w:rsid w:val="00FD310D"/>
    <w:rsid w:val="00FD4974"/>
    <w:rsid w:val="00FE2D52"/>
    <w:rsid w:val="00FE752C"/>
    <w:rsid w:val="00FF3216"/>
    <w:rsid w:val="01FFA88D"/>
    <w:rsid w:val="032CC25C"/>
    <w:rsid w:val="0413FAF1"/>
    <w:rsid w:val="055A4220"/>
    <w:rsid w:val="0569A4F7"/>
    <w:rsid w:val="05C44712"/>
    <w:rsid w:val="06E06DE1"/>
    <w:rsid w:val="07E03B14"/>
    <w:rsid w:val="096FB8EF"/>
    <w:rsid w:val="09D69DF9"/>
    <w:rsid w:val="0A989E72"/>
    <w:rsid w:val="0B431725"/>
    <w:rsid w:val="0B76B40C"/>
    <w:rsid w:val="0F16118B"/>
    <w:rsid w:val="0F202919"/>
    <w:rsid w:val="0F26CB2B"/>
    <w:rsid w:val="10C34C6C"/>
    <w:rsid w:val="13C42D00"/>
    <w:rsid w:val="1407D852"/>
    <w:rsid w:val="15B3025C"/>
    <w:rsid w:val="15E20369"/>
    <w:rsid w:val="160604A1"/>
    <w:rsid w:val="16D9AB95"/>
    <w:rsid w:val="184C2573"/>
    <w:rsid w:val="1872904C"/>
    <w:rsid w:val="1B709EBA"/>
    <w:rsid w:val="1BB19B4E"/>
    <w:rsid w:val="1BBE1333"/>
    <w:rsid w:val="1BFA4DCC"/>
    <w:rsid w:val="1C3E4095"/>
    <w:rsid w:val="1C9FBB4C"/>
    <w:rsid w:val="1E631257"/>
    <w:rsid w:val="1F5825C1"/>
    <w:rsid w:val="1F76A271"/>
    <w:rsid w:val="1F94221A"/>
    <w:rsid w:val="1F99CFA6"/>
    <w:rsid w:val="213F67AD"/>
    <w:rsid w:val="23E321F2"/>
    <w:rsid w:val="25DBFC35"/>
    <w:rsid w:val="2689F6DC"/>
    <w:rsid w:val="2AB0B6CE"/>
    <w:rsid w:val="2BE62823"/>
    <w:rsid w:val="2D6BD81D"/>
    <w:rsid w:val="2DEC3FB5"/>
    <w:rsid w:val="2E7D4C05"/>
    <w:rsid w:val="305CE893"/>
    <w:rsid w:val="3195D86C"/>
    <w:rsid w:val="3334492D"/>
    <w:rsid w:val="37948FB3"/>
    <w:rsid w:val="37A61926"/>
    <w:rsid w:val="393CCCC8"/>
    <w:rsid w:val="3CC2174A"/>
    <w:rsid w:val="4006380C"/>
    <w:rsid w:val="4086711A"/>
    <w:rsid w:val="41447936"/>
    <w:rsid w:val="41A6A04A"/>
    <w:rsid w:val="42F01E2C"/>
    <w:rsid w:val="43704FF5"/>
    <w:rsid w:val="439C9746"/>
    <w:rsid w:val="43A0C080"/>
    <w:rsid w:val="48807A32"/>
    <w:rsid w:val="4933483A"/>
    <w:rsid w:val="4B0D1DDF"/>
    <w:rsid w:val="4BD521E4"/>
    <w:rsid w:val="4C51D809"/>
    <w:rsid w:val="4CD7023E"/>
    <w:rsid w:val="4DD2BDE4"/>
    <w:rsid w:val="4E38D5AF"/>
    <w:rsid w:val="4E918744"/>
    <w:rsid w:val="4EE87A52"/>
    <w:rsid w:val="4F2130A5"/>
    <w:rsid w:val="50AEB1D0"/>
    <w:rsid w:val="50F2953B"/>
    <w:rsid w:val="5338690B"/>
    <w:rsid w:val="533B048A"/>
    <w:rsid w:val="544A4E74"/>
    <w:rsid w:val="5740B2AC"/>
    <w:rsid w:val="57D1D8C0"/>
    <w:rsid w:val="58EA6E44"/>
    <w:rsid w:val="592757F4"/>
    <w:rsid w:val="5927FC8E"/>
    <w:rsid w:val="59B60643"/>
    <w:rsid w:val="5A587C5B"/>
    <w:rsid w:val="5B781A52"/>
    <w:rsid w:val="5E1819B5"/>
    <w:rsid w:val="5F1513D2"/>
    <w:rsid w:val="60EC2D25"/>
    <w:rsid w:val="64F4A9A8"/>
    <w:rsid w:val="65113586"/>
    <w:rsid w:val="67C29BBF"/>
    <w:rsid w:val="67F3B4F8"/>
    <w:rsid w:val="6858DF5C"/>
    <w:rsid w:val="68F4F92E"/>
    <w:rsid w:val="6B0A4EF3"/>
    <w:rsid w:val="6B256893"/>
    <w:rsid w:val="6BEB7ABA"/>
    <w:rsid w:val="6C640922"/>
    <w:rsid w:val="6CC70A30"/>
    <w:rsid w:val="6FB1B8E9"/>
    <w:rsid w:val="706546CF"/>
    <w:rsid w:val="707F8A40"/>
    <w:rsid w:val="712C5842"/>
    <w:rsid w:val="71A105FA"/>
    <w:rsid w:val="74DFB05D"/>
    <w:rsid w:val="766BC8D6"/>
    <w:rsid w:val="7740A77B"/>
    <w:rsid w:val="78892EFB"/>
    <w:rsid w:val="7B080329"/>
    <w:rsid w:val="7C3DDA13"/>
    <w:rsid w:val="7CA6EAD6"/>
    <w:rsid w:val="7D746D18"/>
    <w:rsid w:val="7DECE1DD"/>
    <w:rsid w:val="7EEBDC68"/>
    <w:rsid w:val="7FA00AA5"/>
    <w:rsid w:val="7FBDADF1"/>
    <w:rsid w:val="7FC79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1435"/>
  <w15:chartTrackingRefBased/>
  <w15:docId w15:val="{4B707DC7-0D48-49EF-BC1B-E3808BA8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FE5"/>
    <w:pPr>
      <w:spacing w:line="254" w:lineRule="auto"/>
    </w:pPr>
    <w:rPr>
      <w:sz w:val="25"/>
      <w:szCs w:val="25"/>
    </w:rPr>
  </w:style>
  <w:style w:type="paragraph" w:styleId="Heading1">
    <w:name w:val="heading 1"/>
    <w:basedOn w:val="Normal"/>
    <w:next w:val="Normal"/>
    <w:link w:val="Heading1Char"/>
    <w:uiPriority w:val="9"/>
    <w:qFormat/>
    <w:rsid w:val="00795207"/>
    <w:pPr>
      <w:keepNext/>
      <w:keepLines/>
      <w:spacing w:after="240"/>
      <w:outlineLvl w:val="0"/>
    </w:pPr>
    <w:rPr>
      <w:rFonts w:ascii="Metropolis Semi Bold" w:eastAsiaTheme="majorEastAsia" w:hAnsi="Metropolis Semi Bold" w:cstheme="majorBidi"/>
      <w:color w:val="623486"/>
      <w:sz w:val="72"/>
      <w:szCs w:val="72"/>
    </w:rPr>
  </w:style>
  <w:style w:type="paragraph" w:styleId="Heading2">
    <w:name w:val="heading 2"/>
    <w:basedOn w:val="Normal"/>
    <w:next w:val="Normal"/>
    <w:link w:val="Heading2Char"/>
    <w:uiPriority w:val="9"/>
    <w:unhideWhenUsed/>
    <w:qFormat/>
    <w:rsid w:val="005C1881"/>
    <w:pPr>
      <w:keepNext/>
      <w:keepLines/>
      <w:spacing w:after="200"/>
      <w:outlineLvl w:val="1"/>
    </w:pPr>
    <w:rPr>
      <w:rFonts w:ascii="Metropolis Semi Bold" w:eastAsiaTheme="majorEastAsia" w:hAnsi="Metropolis Semi Bold" w:cstheme="majorBidi"/>
      <w:color w:val="623486"/>
      <w:sz w:val="40"/>
      <w:szCs w:val="40"/>
    </w:rPr>
  </w:style>
  <w:style w:type="paragraph" w:styleId="Heading3">
    <w:name w:val="heading 3"/>
    <w:basedOn w:val="Normal"/>
    <w:next w:val="Normal"/>
    <w:link w:val="Heading3Char"/>
    <w:uiPriority w:val="9"/>
    <w:unhideWhenUsed/>
    <w:qFormat/>
    <w:rsid w:val="005C1881"/>
    <w:pPr>
      <w:keepNext/>
      <w:keepLines/>
      <w:spacing w:before="280" w:after="130"/>
      <w:outlineLvl w:val="2"/>
    </w:pPr>
    <w:rPr>
      <w:rFonts w:ascii="Metropolis Semi Bold" w:eastAsiaTheme="majorEastAsia" w:hAnsi="Metropolis Semi Bold" w:cstheme="majorBidi"/>
      <w:sz w:val="31"/>
      <w:szCs w:val="31"/>
    </w:rPr>
  </w:style>
  <w:style w:type="paragraph" w:styleId="Heading4">
    <w:name w:val="heading 4"/>
    <w:basedOn w:val="Normal"/>
    <w:next w:val="Normal"/>
    <w:link w:val="Heading4Char"/>
    <w:uiPriority w:val="9"/>
    <w:unhideWhenUsed/>
    <w:qFormat/>
    <w:rsid w:val="00A43B19"/>
    <w:pPr>
      <w:keepNext/>
      <w:keepLines/>
      <w:pBdr>
        <w:top w:val="single" w:sz="36" w:space="5" w:color="B58DD3"/>
        <w:left w:val="single" w:sz="36" w:space="5" w:color="B58DD3"/>
        <w:bottom w:val="single" w:sz="36" w:space="5" w:color="B58DD3"/>
        <w:right w:val="single" w:sz="36" w:space="5" w:color="B58DD3"/>
      </w:pBdr>
      <w:spacing w:before="200" w:after="80"/>
      <w:outlineLvl w:val="3"/>
    </w:pPr>
    <w:rPr>
      <w:rFonts w:ascii="Metropolis Semi Bold" w:eastAsiaTheme="majorEastAsia" w:hAnsi="Metropolis Semi Bold" w:cstheme="majorBidi"/>
      <w:color w:val="623486"/>
    </w:rPr>
  </w:style>
  <w:style w:type="paragraph" w:styleId="Heading5">
    <w:name w:val="heading 5"/>
    <w:basedOn w:val="Normal"/>
    <w:next w:val="Normal"/>
    <w:link w:val="Heading5Char"/>
    <w:uiPriority w:val="9"/>
    <w:unhideWhenUsed/>
    <w:qFormat/>
    <w:rsid w:val="00E00DC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00DC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207"/>
    <w:rPr>
      <w:rFonts w:ascii="Metropolis Semi Bold" w:eastAsiaTheme="majorEastAsia" w:hAnsi="Metropolis Semi Bold" w:cstheme="majorBidi"/>
      <w:color w:val="623486"/>
      <w:sz w:val="72"/>
      <w:szCs w:val="72"/>
    </w:rPr>
  </w:style>
  <w:style w:type="character" w:customStyle="1" w:styleId="Heading2Char">
    <w:name w:val="Heading 2 Char"/>
    <w:basedOn w:val="DefaultParagraphFont"/>
    <w:link w:val="Heading2"/>
    <w:uiPriority w:val="9"/>
    <w:rsid w:val="005C1881"/>
    <w:rPr>
      <w:rFonts w:ascii="Metropolis Semi Bold" w:eastAsiaTheme="majorEastAsia" w:hAnsi="Metropolis Semi Bold" w:cstheme="majorBidi"/>
      <w:color w:val="623486"/>
      <w:sz w:val="40"/>
      <w:szCs w:val="40"/>
    </w:rPr>
  </w:style>
  <w:style w:type="character" w:customStyle="1" w:styleId="Heading3Char">
    <w:name w:val="Heading 3 Char"/>
    <w:basedOn w:val="DefaultParagraphFont"/>
    <w:link w:val="Heading3"/>
    <w:uiPriority w:val="9"/>
    <w:rsid w:val="005C1881"/>
    <w:rPr>
      <w:rFonts w:ascii="Metropolis Semi Bold" w:eastAsiaTheme="majorEastAsia" w:hAnsi="Metropolis Semi Bold" w:cstheme="majorBidi"/>
      <w:sz w:val="31"/>
      <w:szCs w:val="31"/>
    </w:rPr>
  </w:style>
  <w:style w:type="paragraph" w:styleId="ListParagraph">
    <w:name w:val="List Paragraph"/>
    <w:basedOn w:val="Normal"/>
    <w:uiPriority w:val="34"/>
    <w:qFormat/>
    <w:rsid w:val="00C646DA"/>
    <w:pPr>
      <w:ind w:left="720"/>
      <w:contextualSpacing/>
    </w:pPr>
  </w:style>
  <w:style w:type="character" w:customStyle="1" w:styleId="Heading4Char">
    <w:name w:val="Heading 4 Char"/>
    <w:basedOn w:val="DefaultParagraphFont"/>
    <w:link w:val="Heading4"/>
    <w:uiPriority w:val="9"/>
    <w:rsid w:val="00A43B19"/>
    <w:rPr>
      <w:rFonts w:ascii="Metropolis Semi Bold" w:eastAsiaTheme="majorEastAsia" w:hAnsi="Metropolis Semi Bold" w:cstheme="majorBidi"/>
      <w:color w:val="623486"/>
      <w:sz w:val="25"/>
      <w:szCs w:val="25"/>
    </w:rPr>
  </w:style>
  <w:style w:type="paragraph" w:styleId="NormalWeb">
    <w:name w:val="Normal (Web)"/>
    <w:basedOn w:val="Normal"/>
    <w:uiPriority w:val="99"/>
    <w:semiHidden/>
    <w:unhideWhenUsed/>
    <w:rsid w:val="00EA3A46"/>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Header">
    <w:name w:val="header"/>
    <w:basedOn w:val="Normal"/>
    <w:link w:val="HeaderChar"/>
    <w:uiPriority w:val="99"/>
    <w:unhideWhenUsed/>
    <w:rsid w:val="00907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19"/>
  </w:style>
  <w:style w:type="paragraph" w:styleId="Footer">
    <w:name w:val="footer"/>
    <w:basedOn w:val="Normal"/>
    <w:link w:val="FooterChar"/>
    <w:uiPriority w:val="99"/>
    <w:unhideWhenUsed/>
    <w:rsid w:val="0062175E"/>
    <w:pPr>
      <w:tabs>
        <w:tab w:val="center" w:pos="4513"/>
        <w:tab w:val="right" w:pos="9026"/>
      </w:tabs>
      <w:spacing w:after="0" w:line="240" w:lineRule="auto"/>
      <w:jc w:val="center"/>
    </w:pPr>
    <w:rPr>
      <w:b/>
      <w:bCs/>
      <w:color w:val="623486"/>
      <w:sz w:val="26"/>
      <w:szCs w:val="26"/>
    </w:rPr>
  </w:style>
  <w:style w:type="character" w:customStyle="1" w:styleId="FooterChar">
    <w:name w:val="Footer Char"/>
    <w:basedOn w:val="DefaultParagraphFont"/>
    <w:link w:val="Footer"/>
    <w:uiPriority w:val="99"/>
    <w:rsid w:val="0062175E"/>
    <w:rPr>
      <w:b/>
      <w:bCs/>
      <w:color w:val="623486"/>
      <w:sz w:val="26"/>
      <w:szCs w:val="26"/>
    </w:rPr>
  </w:style>
  <w:style w:type="character" w:styleId="Hyperlink">
    <w:name w:val="Hyperlink"/>
    <w:basedOn w:val="DefaultParagraphFont"/>
    <w:uiPriority w:val="99"/>
    <w:unhideWhenUsed/>
    <w:rsid w:val="00206725"/>
    <w:rPr>
      <w:color w:val="0563C1" w:themeColor="hyperlink"/>
      <w:u w:val="single"/>
    </w:rPr>
  </w:style>
  <w:style w:type="character" w:styleId="UnresolvedMention">
    <w:name w:val="Unresolved Mention"/>
    <w:basedOn w:val="DefaultParagraphFont"/>
    <w:uiPriority w:val="99"/>
    <w:semiHidden/>
    <w:unhideWhenUsed/>
    <w:rsid w:val="00206725"/>
    <w:rPr>
      <w:color w:val="605E5C"/>
      <w:shd w:val="clear" w:color="auto" w:fill="E1DFDD"/>
    </w:rPr>
  </w:style>
  <w:style w:type="paragraph" w:styleId="EndnoteText">
    <w:name w:val="endnote text"/>
    <w:basedOn w:val="Normal"/>
    <w:link w:val="EndnoteTextChar"/>
    <w:uiPriority w:val="99"/>
    <w:semiHidden/>
    <w:unhideWhenUsed/>
    <w:rsid w:val="009E21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2159"/>
    <w:rPr>
      <w:sz w:val="20"/>
      <w:szCs w:val="20"/>
    </w:rPr>
  </w:style>
  <w:style w:type="character" w:styleId="EndnoteReference">
    <w:name w:val="endnote reference"/>
    <w:basedOn w:val="DefaultParagraphFont"/>
    <w:uiPriority w:val="99"/>
    <w:semiHidden/>
    <w:unhideWhenUsed/>
    <w:rsid w:val="009E2159"/>
    <w:rPr>
      <w:vertAlign w:val="superscript"/>
    </w:rPr>
  </w:style>
  <w:style w:type="paragraph" w:styleId="Revision">
    <w:name w:val="Revision"/>
    <w:hidden/>
    <w:uiPriority w:val="99"/>
    <w:semiHidden/>
    <w:rsid w:val="008465CB"/>
    <w:pPr>
      <w:spacing w:after="0" w:line="240" w:lineRule="auto"/>
    </w:pPr>
  </w:style>
  <w:style w:type="paragraph" w:styleId="CommentText">
    <w:name w:val="annotation text"/>
    <w:basedOn w:val="Normal"/>
    <w:link w:val="CommentTextChar"/>
    <w:uiPriority w:val="99"/>
    <w:semiHidden/>
    <w:unhideWhenUsed/>
    <w:rsid w:val="00E2048F"/>
    <w:pPr>
      <w:spacing w:line="240" w:lineRule="auto"/>
    </w:pPr>
    <w:rPr>
      <w:sz w:val="20"/>
      <w:szCs w:val="20"/>
    </w:rPr>
  </w:style>
  <w:style w:type="character" w:customStyle="1" w:styleId="CommentTextChar">
    <w:name w:val="Comment Text Char"/>
    <w:basedOn w:val="DefaultParagraphFont"/>
    <w:link w:val="CommentText"/>
    <w:uiPriority w:val="99"/>
    <w:semiHidden/>
    <w:rsid w:val="00E2048F"/>
    <w:rPr>
      <w:sz w:val="20"/>
      <w:szCs w:val="20"/>
    </w:rPr>
  </w:style>
  <w:style w:type="character" w:styleId="CommentReference">
    <w:name w:val="annotation reference"/>
    <w:basedOn w:val="DefaultParagraphFont"/>
    <w:uiPriority w:val="99"/>
    <w:semiHidden/>
    <w:unhideWhenUsed/>
    <w:rsid w:val="00E2048F"/>
    <w:rPr>
      <w:sz w:val="16"/>
      <w:szCs w:val="16"/>
    </w:rPr>
  </w:style>
  <w:style w:type="paragraph" w:styleId="Title">
    <w:name w:val="Title"/>
    <w:basedOn w:val="Normal"/>
    <w:next w:val="Normal"/>
    <w:link w:val="TitleChar"/>
    <w:uiPriority w:val="10"/>
    <w:qFormat/>
    <w:rsid w:val="00771B3F"/>
    <w:pPr>
      <w:spacing w:after="0" w:line="240" w:lineRule="auto"/>
      <w:contextualSpacing/>
    </w:pPr>
    <w:rPr>
      <w:rFonts w:eastAsiaTheme="majorEastAsia" w:cstheme="minorHAnsi"/>
      <w:spacing w:val="-10"/>
      <w:kern w:val="28"/>
      <w:sz w:val="40"/>
      <w:szCs w:val="40"/>
    </w:rPr>
  </w:style>
  <w:style w:type="character" w:customStyle="1" w:styleId="TitleChar">
    <w:name w:val="Title Char"/>
    <w:basedOn w:val="DefaultParagraphFont"/>
    <w:link w:val="Title"/>
    <w:uiPriority w:val="10"/>
    <w:rsid w:val="00771B3F"/>
    <w:rPr>
      <w:rFonts w:eastAsiaTheme="majorEastAsia" w:cstheme="minorHAnsi"/>
      <w:spacing w:val="-10"/>
      <w:kern w:val="28"/>
      <w:sz w:val="40"/>
      <w:szCs w:val="40"/>
    </w:rPr>
  </w:style>
  <w:style w:type="character" w:customStyle="1" w:styleId="Heading5Char">
    <w:name w:val="Heading 5 Char"/>
    <w:basedOn w:val="DefaultParagraphFont"/>
    <w:link w:val="Heading5"/>
    <w:uiPriority w:val="9"/>
    <w:rsid w:val="00E00DC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00DC3"/>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FD4974"/>
    <w:rPr>
      <w:sz w:val="26"/>
    </w:rPr>
  </w:style>
  <w:style w:type="paragraph" w:styleId="TOC2">
    <w:name w:val="toc 2"/>
    <w:basedOn w:val="Normal"/>
    <w:next w:val="Normal"/>
    <w:autoRedefine/>
    <w:uiPriority w:val="39"/>
    <w:unhideWhenUsed/>
    <w:rsid w:val="00506BCE"/>
    <w:pPr>
      <w:spacing w:after="100"/>
      <w:ind w:left="220"/>
    </w:pPr>
  </w:style>
  <w:style w:type="paragraph" w:customStyle="1" w:styleId="Bullet">
    <w:name w:val="Bullet"/>
    <w:basedOn w:val="ListParagraph"/>
    <w:qFormat/>
    <w:rsid w:val="00602FE5"/>
    <w:pPr>
      <w:numPr>
        <w:numId w:val="27"/>
      </w:numPr>
      <w:tabs>
        <w:tab w:val="left" w:pos="284"/>
      </w:tabs>
      <w:spacing w:after="120" w:line="257" w:lineRule="auto"/>
      <w:ind w:left="284" w:hanging="284"/>
      <w:contextualSpacing w:val="0"/>
    </w:pPr>
  </w:style>
  <w:style w:type="paragraph" w:customStyle="1" w:styleId="Bullet-Indent">
    <w:name w:val="Bullet-Indent"/>
    <w:basedOn w:val="Bullet"/>
    <w:qFormat/>
    <w:rsid w:val="00E71F19"/>
    <w:pPr>
      <w:numPr>
        <w:ilvl w:val="1"/>
      </w:numPr>
      <w:tabs>
        <w:tab w:val="clear" w:pos="284"/>
        <w:tab w:val="left" w:pos="709"/>
      </w:tabs>
      <w:spacing w:before="100" w:after="100"/>
      <w:ind w:left="709" w:hanging="425"/>
    </w:pPr>
  </w:style>
  <w:style w:type="character" w:styleId="FollowedHyperlink">
    <w:name w:val="FollowedHyperlink"/>
    <w:basedOn w:val="DefaultParagraphFont"/>
    <w:uiPriority w:val="99"/>
    <w:semiHidden/>
    <w:unhideWhenUsed/>
    <w:rsid w:val="00687CCF"/>
    <w:rPr>
      <w:color w:val="954F72" w:themeColor="followedHyperlink"/>
      <w:u w:val="single"/>
    </w:rPr>
  </w:style>
  <w:style w:type="paragraph" w:customStyle="1" w:styleId="References">
    <w:name w:val="References"/>
    <w:basedOn w:val="Normal"/>
    <w:qFormat/>
    <w:rsid w:val="00CA0BF4"/>
    <w:pPr>
      <w:tabs>
        <w:tab w:val="left" w:pos="426"/>
      </w:tabs>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773">
      <w:bodyDiv w:val="1"/>
      <w:marLeft w:val="0"/>
      <w:marRight w:val="0"/>
      <w:marTop w:val="0"/>
      <w:marBottom w:val="0"/>
      <w:divBdr>
        <w:top w:val="none" w:sz="0" w:space="0" w:color="auto"/>
        <w:left w:val="none" w:sz="0" w:space="0" w:color="auto"/>
        <w:bottom w:val="none" w:sz="0" w:space="0" w:color="auto"/>
        <w:right w:val="none" w:sz="0" w:space="0" w:color="auto"/>
      </w:divBdr>
    </w:div>
    <w:div w:id="42561557">
      <w:bodyDiv w:val="1"/>
      <w:marLeft w:val="0"/>
      <w:marRight w:val="0"/>
      <w:marTop w:val="0"/>
      <w:marBottom w:val="0"/>
      <w:divBdr>
        <w:top w:val="none" w:sz="0" w:space="0" w:color="auto"/>
        <w:left w:val="none" w:sz="0" w:space="0" w:color="auto"/>
        <w:bottom w:val="none" w:sz="0" w:space="0" w:color="auto"/>
        <w:right w:val="none" w:sz="0" w:space="0" w:color="auto"/>
      </w:divBdr>
    </w:div>
    <w:div w:id="150023750">
      <w:bodyDiv w:val="1"/>
      <w:marLeft w:val="0"/>
      <w:marRight w:val="0"/>
      <w:marTop w:val="0"/>
      <w:marBottom w:val="0"/>
      <w:divBdr>
        <w:top w:val="none" w:sz="0" w:space="0" w:color="auto"/>
        <w:left w:val="none" w:sz="0" w:space="0" w:color="auto"/>
        <w:bottom w:val="none" w:sz="0" w:space="0" w:color="auto"/>
        <w:right w:val="none" w:sz="0" w:space="0" w:color="auto"/>
      </w:divBdr>
    </w:div>
    <w:div w:id="153187816">
      <w:bodyDiv w:val="1"/>
      <w:marLeft w:val="0"/>
      <w:marRight w:val="0"/>
      <w:marTop w:val="0"/>
      <w:marBottom w:val="0"/>
      <w:divBdr>
        <w:top w:val="none" w:sz="0" w:space="0" w:color="auto"/>
        <w:left w:val="none" w:sz="0" w:space="0" w:color="auto"/>
        <w:bottom w:val="none" w:sz="0" w:space="0" w:color="auto"/>
        <w:right w:val="none" w:sz="0" w:space="0" w:color="auto"/>
      </w:divBdr>
    </w:div>
    <w:div w:id="253176091">
      <w:bodyDiv w:val="1"/>
      <w:marLeft w:val="0"/>
      <w:marRight w:val="0"/>
      <w:marTop w:val="0"/>
      <w:marBottom w:val="0"/>
      <w:divBdr>
        <w:top w:val="none" w:sz="0" w:space="0" w:color="auto"/>
        <w:left w:val="none" w:sz="0" w:space="0" w:color="auto"/>
        <w:bottom w:val="none" w:sz="0" w:space="0" w:color="auto"/>
        <w:right w:val="none" w:sz="0" w:space="0" w:color="auto"/>
      </w:divBdr>
    </w:div>
    <w:div w:id="268005162">
      <w:bodyDiv w:val="1"/>
      <w:marLeft w:val="0"/>
      <w:marRight w:val="0"/>
      <w:marTop w:val="0"/>
      <w:marBottom w:val="0"/>
      <w:divBdr>
        <w:top w:val="none" w:sz="0" w:space="0" w:color="auto"/>
        <w:left w:val="none" w:sz="0" w:space="0" w:color="auto"/>
        <w:bottom w:val="none" w:sz="0" w:space="0" w:color="auto"/>
        <w:right w:val="none" w:sz="0" w:space="0" w:color="auto"/>
      </w:divBdr>
    </w:div>
    <w:div w:id="286738072">
      <w:bodyDiv w:val="1"/>
      <w:marLeft w:val="0"/>
      <w:marRight w:val="0"/>
      <w:marTop w:val="0"/>
      <w:marBottom w:val="0"/>
      <w:divBdr>
        <w:top w:val="none" w:sz="0" w:space="0" w:color="auto"/>
        <w:left w:val="none" w:sz="0" w:space="0" w:color="auto"/>
        <w:bottom w:val="none" w:sz="0" w:space="0" w:color="auto"/>
        <w:right w:val="none" w:sz="0" w:space="0" w:color="auto"/>
      </w:divBdr>
    </w:div>
    <w:div w:id="357125571">
      <w:bodyDiv w:val="1"/>
      <w:marLeft w:val="0"/>
      <w:marRight w:val="0"/>
      <w:marTop w:val="0"/>
      <w:marBottom w:val="0"/>
      <w:divBdr>
        <w:top w:val="none" w:sz="0" w:space="0" w:color="auto"/>
        <w:left w:val="none" w:sz="0" w:space="0" w:color="auto"/>
        <w:bottom w:val="none" w:sz="0" w:space="0" w:color="auto"/>
        <w:right w:val="none" w:sz="0" w:space="0" w:color="auto"/>
      </w:divBdr>
    </w:div>
    <w:div w:id="398672021">
      <w:bodyDiv w:val="1"/>
      <w:marLeft w:val="0"/>
      <w:marRight w:val="0"/>
      <w:marTop w:val="0"/>
      <w:marBottom w:val="0"/>
      <w:divBdr>
        <w:top w:val="none" w:sz="0" w:space="0" w:color="auto"/>
        <w:left w:val="none" w:sz="0" w:space="0" w:color="auto"/>
        <w:bottom w:val="none" w:sz="0" w:space="0" w:color="auto"/>
        <w:right w:val="none" w:sz="0" w:space="0" w:color="auto"/>
      </w:divBdr>
    </w:div>
    <w:div w:id="471170332">
      <w:bodyDiv w:val="1"/>
      <w:marLeft w:val="0"/>
      <w:marRight w:val="0"/>
      <w:marTop w:val="0"/>
      <w:marBottom w:val="0"/>
      <w:divBdr>
        <w:top w:val="none" w:sz="0" w:space="0" w:color="auto"/>
        <w:left w:val="none" w:sz="0" w:space="0" w:color="auto"/>
        <w:bottom w:val="none" w:sz="0" w:space="0" w:color="auto"/>
        <w:right w:val="none" w:sz="0" w:space="0" w:color="auto"/>
      </w:divBdr>
    </w:div>
    <w:div w:id="478233222">
      <w:bodyDiv w:val="1"/>
      <w:marLeft w:val="0"/>
      <w:marRight w:val="0"/>
      <w:marTop w:val="0"/>
      <w:marBottom w:val="0"/>
      <w:divBdr>
        <w:top w:val="none" w:sz="0" w:space="0" w:color="auto"/>
        <w:left w:val="none" w:sz="0" w:space="0" w:color="auto"/>
        <w:bottom w:val="none" w:sz="0" w:space="0" w:color="auto"/>
        <w:right w:val="none" w:sz="0" w:space="0" w:color="auto"/>
      </w:divBdr>
    </w:div>
    <w:div w:id="494884590">
      <w:bodyDiv w:val="1"/>
      <w:marLeft w:val="0"/>
      <w:marRight w:val="0"/>
      <w:marTop w:val="0"/>
      <w:marBottom w:val="0"/>
      <w:divBdr>
        <w:top w:val="none" w:sz="0" w:space="0" w:color="auto"/>
        <w:left w:val="none" w:sz="0" w:space="0" w:color="auto"/>
        <w:bottom w:val="none" w:sz="0" w:space="0" w:color="auto"/>
        <w:right w:val="none" w:sz="0" w:space="0" w:color="auto"/>
      </w:divBdr>
    </w:div>
    <w:div w:id="521633082">
      <w:bodyDiv w:val="1"/>
      <w:marLeft w:val="0"/>
      <w:marRight w:val="0"/>
      <w:marTop w:val="0"/>
      <w:marBottom w:val="0"/>
      <w:divBdr>
        <w:top w:val="none" w:sz="0" w:space="0" w:color="auto"/>
        <w:left w:val="none" w:sz="0" w:space="0" w:color="auto"/>
        <w:bottom w:val="none" w:sz="0" w:space="0" w:color="auto"/>
        <w:right w:val="none" w:sz="0" w:space="0" w:color="auto"/>
      </w:divBdr>
      <w:divsChild>
        <w:div w:id="1701972045">
          <w:marLeft w:val="374"/>
          <w:marRight w:val="0"/>
          <w:marTop w:val="0"/>
          <w:marBottom w:val="0"/>
          <w:divBdr>
            <w:top w:val="none" w:sz="0" w:space="0" w:color="auto"/>
            <w:left w:val="none" w:sz="0" w:space="0" w:color="auto"/>
            <w:bottom w:val="none" w:sz="0" w:space="0" w:color="auto"/>
            <w:right w:val="none" w:sz="0" w:space="0" w:color="auto"/>
          </w:divBdr>
        </w:div>
        <w:div w:id="106169945">
          <w:marLeft w:val="374"/>
          <w:marRight w:val="0"/>
          <w:marTop w:val="0"/>
          <w:marBottom w:val="0"/>
          <w:divBdr>
            <w:top w:val="none" w:sz="0" w:space="0" w:color="auto"/>
            <w:left w:val="none" w:sz="0" w:space="0" w:color="auto"/>
            <w:bottom w:val="none" w:sz="0" w:space="0" w:color="auto"/>
            <w:right w:val="none" w:sz="0" w:space="0" w:color="auto"/>
          </w:divBdr>
        </w:div>
        <w:div w:id="1855000632">
          <w:marLeft w:val="749"/>
          <w:marRight w:val="0"/>
          <w:marTop w:val="0"/>
          <w:marBottom w:val="0"/>
          <w:divBdr>
            <w:top w:val="none" w:sz="0" w:space="0" w:color="auto"/>
            <w:left w:val="none" w:sz="0" w:space="0" w:color="auto"/>
            <w:bottom w:val="none" w:sz="0" w:space="0" w:color="auto"/>
            <w:right w:val="none" w:sz="0" w:space="0" w:color="auto"/>
          </w:divBdr>
        </w:div>
        <w:div w:id="926885972">
          <w:marLeft w:val="749"/>
          <w:marRight w:val="0"/>
          <w:marTop w:val="0"/>
          <w:marBottom w:val="0"/>
          <w:divBdr>
            <w:top w:val="none" w:sz="0" w:space="0" w:color="auto"/>
            <w:left w:val="none" w:sz="0" w:space="0" w:color="auto"/>
            <w:bottom w:val="none" w:sz="0" w:space="0" w:color="auto"/>
            <w:right w:val="none" w:sz="0" w:space="0" w:color="auto"/>
          </w:divBdr>
        </w:div>
        <w:div w:id="1909875062">
          <w:marLeft w:val="749"/>
          <w:marRight w:val="0"/>
          <w:marTop w:val="0"/>
          <w:marBottom w:val="0"/>
          <w:divBdr>
            <w:top w:val="none" w:sz="0" w:space="0" w:color="auto"/>
            <w:left w:val="none" w:sz="0" w:space="0" w:color="auto"/>
            <w:bottom w:val="none" w:sz="0" w:space="0" w:color="auto"/>
            <w:right w:val="none" w:sz="0" w:space="0" w:color="auto"/>
          </w:divBdr>
        </w:div>
      </w:divsChild>
    </w:div>
    <w:div w:id="531767494">
      <w:bodyDiv w:val="1"/>
      <w:marLeft w:val="0"/>
      <w:marRight w:val="0"/>
      <w:marTop w:val="0"/>
      <w:marBottom w:val="0"/>
      <w:divBdr>
        <w:top w:val="none" w:sz="0" w:space="0" w:color="auto"/>
        <w:left w:val="none" w:sz="0" w:space="0" w:color="auto"/>
        <w:bottom w:val="none" w:sz="0" w:space="0" w:color="auto"/>
        <w:right w:val="none" w:sz="0" w:space="0" w:color="auto"/>
      </w:divBdr>
    </w:div>
    <w:div w:id="588737240">
      <w:bodyDiv w:val="1"/>
      <w:marLeft w:val="0"/>
      <w:marRight w:val="0"/>
      <w:marTop w:val="0"/>
      <w:marBottom w:val="0"/>
      <w:divBdr>
        <w:top w:val="none" w:sz="0" w:space="0" w:color="auto"/>
        <w:left w:val="none" w:sz="0" w:space="0" w:color="auto"/>
        <w:bottom w:val="none" w:sz="0" w:space="0" w:color="auto"/>
        <w:right w:val="none" w:sz="0" w:space="0" w:color="auto"/>
      </w:divBdr>
    </w:div>
    <w:div w:id="621574450">
      <w:bodyDiv w:val="1"/>
      <w:marLeft w:val="0"/>
      <w:marRight w:val="0"/>
      <w:marTop w:val="0"/>
      <w:marBottom w:val="0"/>
      <w:divBdr>
        <w:top w:val="none" w:sz="0" w:space="0" w:color="auto"/>
        <w:left w:val="none" w:sz="0" w:space="0" w:color="auto"/>
        <w:bottom w:val="none" w:sz="0" w:space="0" w:color="auto"/>
        <w:right w:val="none" w:sz="0" w:space="0" w:color="auto"/>
      </w:divBdr>
    </w:div>
    <w:div w:id="643193704">
      <w:bodyDiv w:val="1"/>
      <w:marLeft w:val="0"/>
      <w:marRight w:val="0"/>
      <w:marTop w:val="0"/>
      <w:marBottom w:val="0"/>
      <w:divBdr>
        <w:top w:val="none" w:sz="0" w:space="0" w:color="auto"/>
        <w:left w:val="none" w:sz="0" w:space="0" w:color="auto"/>
        <w:bottom w:val="none" w:sz="0" w:space="0" w:color="auto"/>
        <w:right w:val="none" w:sz="0" w:space="0" w:color="auto"/>
      </w:divBdr>
    </w:div>
    <w:div w:id="725491998">
      <w:bodyDiv w:val="1"/>
      <w:marLeft w:val="0"/>
      <w:marRight w:val="0"/>
      <w:marTop w:val="0"/>
      <w:marBottom w:val="0"/>
      <w:divBdr>
        <w:top w:val="none" w:sz="0" w:space="0" w:color="auto"/>
        <w:left w:val="none" w:sz="0" w:space="0" w:color="auto"/>
        <w:bottom w:val="none" w:sz="0" w:space="0" w:color="auto"/>
        <w:right w:val="none" w:sz="0" w:space="0" w:color="auto"/>
      </w:divBdr>
    </w:div>
    <w:div w:id="756947518">
      <w:bodyDiv w:val="1"/>
      <w:marLeft w:val="0"/>
      <w:marRight w:val="0"/>
      <w:marTop w:val="0"/>
      <w:marBottom w:val="0"/>
      <w:divBdr>
        <w:top w:val="none" w:sz="0" w:space="0" w:color="auto"/>
        <w:left w:val="none" w:sz="0" w:space="0" w:color="auto"/>
        <w:bottom w:val="none" w:sz="0" w:space="0" w:color="auto"/>
        <w:right w:val="none" w:sz="0" w:space="0" w:color="auto"/>
      </w:divBdr>
    </w:div>
    <w:div w:id="772362876">
      <w:bodyDiv w:val="1"/>
      <w:marLeft w:val="0"/>
      <w:marRight w:val="0"/>
      <w:marTop w:val="0"/>
      <w:marBottom w:val="0"/>
      <w:divBdr>
        <w:top w:val="none" w:sz="0" w:space="0" w:color="auto"/>
        <w:left w:val="none" w:sz="0" w:space="0" w:color="auto"/>
        <w:bottom w:val="none" w:sz="0" w:space="0" w:color="auto"/>
        <w:right w:val="none" w:sz="0" w:space="0" w:color="auto"/>
      </w:divBdr>
    </w:div>
    <w:div w:id="832188673">
      <w:bodyDiv w:val="1"/>
      <w:marLeft w:val="0"/>
      <w:marRight w:val="0"/>
      <w:marTop w:val="0"/>
      <w:marBottom w:val="0"/>
      <w:divBdr>
        <w:top w:val="none" w:sz="0" w:space="0" w:color="auto"/>
        <w:left w:val="none" w:sz="0" w:space="0" w:color="auto"/>
        <w:bottom w:val="none" w:sz="0" w:space="0" w:color="auto"/>
        <w:right w:val="none" w:sz="0" w:space="0" w:color="auto"/>
      </w:divBdr>
    </w:div>
    <w:div w:id="881332692">
      <w:bodyDiv w:val="1"/>
      <w:marLeft w:val="0"/>
      <w:marRight w:val="0"/>
      <w:marTop w:val="0"/>
      <w:marBottom w:val="0"/>
      <w:divBdr>
        <w:top w:val="none" w:sz="0" w:space="0" w:color="auto"/>
        <w:left w:val="none" w:sz="0" w:space="0" w:color="auto"/>
        <w:bottom w:val="none" w:sz="0" w:space="0" w:color="auto"/>
        <w:right w:val="none" w:sz="0" w:space="0" w:color="auto"/>
      </w:divBdr>
      <w:divsChild>
        <w:div w:id="193347231">
          <w:marLeft w:val="374"/>
          <w:marRight w:val="0"/>
          <w:marTop w:val="0"/>
          <w:marBottom w:val="0"/>
          <w:divBdr>
            <w:top w:val="none" w:sz="0" w:space="0" w:color="auto"/>
            <w:left w:val="none" w:sz="0" w:space="0" w:color="auto"/>
            <w:bottom w:val="none" w:sz="0" w:space="0" w:color="auto"/>
            <w:right w:val="none" w:sz="0" w:space="0" w:color="auto"/>
          </w:divBdr>
        </w:div>
        <w:div w:id="1884562059">
          <w:marLeft w:val="374"/>
          <w:marRight w:val="0"/>
          <w:marTop w:val="0"/>
          <w:marBottom w:val="0"/>
          <w:divBdr>
            <w:top w:val="none" w:sz="0" w:space="0" w:color="auto"/>
            <w:left w:val="none" w:sz="0" w:space="0" w:color="auto"/>
            <w:bottom w:val="none" w:sz="0" w:space="0" w:color="auto"/>
            <w:right w:val="none" w:sz="0" w:space="0" w:color="auto"/>
          </w:divBdr>
        </w:div>
        <w:div w:id="2004163490">
          <w:marLeft w:val="374"/>
          <w:marRight w:val="0"/>
          <w:marTop w:val="0"/>
          <w:marBottom w:val="0"/>
          <w:divBdr>
            <w:top w:val="none" w:sz="0" w:space="0" w:color="auto"/>
            <w:left w:val="none" w:sz="0" w:space="0" w:color="auto"/>
            <w:bottom w:val="none" w:sz="0" w:space="0" w:color="auto"/>
            <w:right w:val="none" w:sz="0" w:space="0" w:color="auto"/>
          </w:divBdr>
        </w:div>
      </w:divsChild>
    </w:div>
    <w:div w:id="980118348">
      <w:bodyDiv w:val="1"/>
      <w:marLeft w:val="0"/>
      <w:marRight w:val="0"/>
      <w:marTop w:val="0"/>
      <w:marBottom w:val="0"/>
      <w:divBdr>
        <w:top w:val="none" w:sz="0" w:space="0" w:color="auto"/>
        <w:left w:val="none" w:sz="0" w:space="0" w:color="auto"/>
        <w:bottom w:val="none" w:sz="0" w:space="0" w:color="auto"/>
        <w:right w:val="none" w:sz="0" w:space="0" w:color="auto"/>
      </w:divBdr>
    </w:div>
    <w:div w:id="1008561999">
      <w:bodyDiv w:val="1"/>
      <w:marLeft w:val="0"/>
      <w:marRight w:val="0"/>
      <w:marTop w:val="0"/>
      <w:marBottom w:val="0"/>
      <w:divBdr>
        <w:top w:val="none" w:sz="0" w:space="0" w:color="auto"/>
        <w:left w:val="none" w:sz="0" w:space="0" w:color="auto"/>
        <w:bottom w:val="none" w:sz="0" w:space="0" w:color="auto"/>
        <w:right w:val="none" w:sz="0" w:space="0" w:color="auto"/>
      </w:divBdr>
    </w:div>
    <w:div w:id="1022244599">
      <w:bodyDiv w:val="1"/>
      <w:marLeft w:val="0"/>
      <w:marRight w:val="0"/>
      <w:marTop w:val="0"/>
      <w:marBottom w:val="0"/>
      <w:divBdr>
        <w:top w:val="none" w:sz="0" w:space="0" w:color="auto"/>
        <w:left w:val="none" w:sz="0" w:space="0" w:color="auto"/>
        <w:bottom w:val="none" w:sz="0" w:space="0" w:color="auto"/>
        <w:right w:val="none" w:sz="0" w:space="0" w:color="auto"/>
      </w:divBdr>
    </w:div>
    <w:div w:id="1050031641">
      <w:bodyDiv w:val="1"/>
      <w:marLeft w:val="0"/>
      <w:marRight w:val="0"/>
      <w:marTop w:val="0"/>
      <w:marBottom w:val="0"/>
      <w:divBdr>
        <w:top w:val="none" w:sz="0" w:space="0" w:color="auto"/>
        <w:left w:val="none" w:sz="0" w:space="0" w:color="auto"/>
        <w:bottom w:val="none" w:sz="0" w:space="0" w:color="auto"/>
        <w:right w:val="none" w:sz="0" w:space="0" w:color="auto"/>
      </w:divBdr>
    </w:div>
    <w:div w:id="1117989932">
      <w:bodyDiv w:val="1"/>
      <w:marLeft w:val="0"/>
      <w:marRight w:val="0"/>
      <w:marTop w:val="0"/>
      <w:marBottom w:val="0"/>
      <w:divBdr>
        <w:top w:val="none" w:sz="0" w:space="0" w:color="auto"/>
        <w:left w:val="none" w:sz="0" w:space="0" w:color="auto"/>
        <w:bottom w:val="none" w:sz="0" w:space="0" w:color="auto"/>
        <w:right w:val="none" w:sz="0" w:space="0" w:color="auto"/>
      </w:divBdr>
    </w:div>
    <w:div w:id="1139179157">
      <w:bodyDiv w:val="1"/>
      <w:marLeft w:val="0"/>
      <w:marRight w:val="0"/>
      <w:marTop w:val="0"/>
      <w:marBottom w:val="0"/>
      <w:divBdr>
        <w:top w:val="none" w:sz="0" w:space="0" w:color="auto"/>
        <w:left w:val="none" w:sz="0" w:space="0" w:color="auto"/>
        <w:bottom w:val="none" w:sz="0" w:space="0" w:color="auto"/>
        <w:right w:val="none" w:sz="0" w:space="0" w:color="auto"/>
      </w:divBdr>
    </w:div>
    <w:div w:id="1194339918">
      <w:bodyDiv w:val="1"/>
      <w:marLeft w:val="0"/>
      <w:marRight w:val="0"/>
      <w:marTop w:val="0"/>
      <w:marBottom w:val="0"/>
      <w:divBdr>
        <w:top w:val="none" w:sz="0" w:space="0" w:color="auto"/>
        <w:left w:val="none" w:sz="0" w:space="0" w:color="auto"/>
        <w:bottom w:val="none" w:sz="0" w:space="0" w:color="auto"/>
        <w:right w:val="none" w:sz="0" w:space="0" w:color="auto"/>
      </w:divBdr>
    </w:div>
    <w:div w:id="1218249745">
      <w:bodyDiv w:val="1"/>
      <w:marLeft w:val="0"/>
      <w:marRight w:val="0"/>
      <w:marTop w:val="0"/>
      <w:marBottom w:val="0"/>
      <w:divBdr>
        <w:top w:val="none" w:sz="0" w:space="0" w:color="auto"/>
        <w:left w:val="none" w:sz="0" w:space="0" w:color="auto"/>
        <w:bottom w:val="none" w:sz="0" w:space="0" w:color="auto"/>
        <w:right w:val="none" w:sz="0" w:space="0" w:color="auto"/>
      </w:divBdr>
      <w:divsChild>
        <w:div w:id="2105956712">
          <w:marLeft w:val="274"/>
          <w:marRight w:val="0"/>
          <w:marTop w:val="0"/>
          <w:marBottom w:val="0"/>
          <w:divBdr>
            <w:top w:val="none" w:sz="0" w:space="0" w:color="auto"/>
            <w:left w:val="none" w:sz="0" w:space="0" w:color="auto"/>
            <w:bottom w:val="none" w:sz="0" w:space="0" w:color="auto"/>
            <w:right w:val="none" w:sz="0" w:space="0" w:color="auto"/>
          </w:divBdr>
        </w:div>
        <w:div w:id="1784883611">
          <w:marLeft w:val="274"/>
          <w:marRight w:val="0"/>
          <w:marTop w:val="0"/>
          <w:marBottom w:val="0"/>
          <w:divBdr>
            <w:top w:val="none" w:sz="0" w:space="0" w:color="auto"/>
            <w:left w:val="none" w:sz="0" w:space="0" w:color="auto"/>
            <w:bottom w:val="none" w:sz="0" w:space="0" w:color="auto"/>
            <w:right w:val="none" w:sz="0" w:space="0" w:color="auto"/>
          </w:divBdr>
        </w:div>
        <w:div w:id="776557277">
          <w:marLeft w:val="274"/>
          <w:marRight w:val="0"/>
          <w:marTop w:val="0"/>
          <w:marBottom w:val="0"/>
          <w:divBdr>
            <w:top w:val="none" w:sz="0" w:space="0" w:color="auto"/>
            <w:left w:val="none" w:sz="0" w:space="0" w:color="auto"/>
            <w:bottom w:val="none" w:sz="0" w:space="0" w:color="auto"/>
            <w:right w:val="none" w:sz="0" w:space="0" w:color="auto"/>
          </w:divBdr>
        </w:div>
        <w:div w:id="1125729890">
          <w:marLeft w:val="274"/>
          <w:marRight w:val="0"/>
          <w:marTop w:val="0"/>
          <w:marBottom w:val="0"/>
          <w:divBdr>
            <w:top w:val="none" w:sz="0" w:space="0" w:color="auto"/>
            <w:left w:val="none" w:sz="0" w:space="0" w:color="auto"/>
            <w:bottom w:val="none" w:sz="0" w:space="0" w:color="auto"/>
            <w:right w:val="none" w:sz="0" w:space="0" w:color="auto"/>
          </w:divBdr>
        </w:div>
        <w:div w:id="153690780">
          <w:marLeft w:val="274"/>
          <w:marRight w:val="0"/>
          <w:marTop w:val="0"/>
          <w:marBottom w:val="0"/>
          <w:divBdr>
            <w:top w:val="none" w:sz="0" w:space="0" w:color="auto"/>
            <w:left w:val="none" w:sz="0" w:space="0" w:color="auto"/>
            <w:bottom w:val="none" w:sz="0" w:space="0" w:color="auto"/>
            <w:right w:val="none" w:sz="0" w:space="0" w:color="auto"/>
          </w:divBdr>
        </w:div>
        <w:div w:id="723257062">
          <w:marLeft w:val="274"/>
          <w:marRight w:val="0"/>
          <w:marTop w:val="0"/>
          <w:marBottom w:val="0"/>
          <w:divBdr>
            <w:top w:val="none" w:sz="0" w:space="0" w:color="auto"/>
            <w:left w:val="none" w:sz="0" w:space="0" w:color="auto"/>
            <w:bottom w:val="none" w:sz="0" w:space="0" w:color="auto"/>
            <w:right w:val="none" w:sz="0" w:space="0" w:color="auto"/>
          </w:divBdr>
        </w:div>
        <w:div w:id="265314831">
          <w:marLeft w:val="274"/>
          <w:marRight w:val="0"/>
          <w:marTop w:val="0"/>
          <w:marBottom w:val="0"/>
          <w:divBdr>
            <w:top w:val="none" w:sz="0" w:space="0" w:color="auto"/>
            <w:left w:val="none" w:sz="0" w:space="0" w:color="auto"/>
            <w:bottom w:val="none" w:sz="0" w:space="0" w:color="auto"/>
            <w:right w:val="none" w:sz="0" w:space="0" w:color="auto"/>
          </w:divBdr>
        </w:div>
        <w:div w:id="1565411101">
          <w:marLeft w:val="274"/>
          <w:marRight w:val="0"/>
          <w:marTop w:val="0"/>
          <w:marBottom w:val="0"/>
          <w:divBdr>
            <w:top w:val="none" w:sz="0" w:space="0" w:color="auto"/>
            <w:left w:val="none" w:sz="0" w:space="0" w:color="auto"/>
            <w:bottom w:val="none" w:sz="0" w:space="0" w:color="auto"/>
            <w:right w:val="none" w:sz="0" w:space="0" w:color="auto"/>
          </w:divBdr>
        </w:div>
      </w:divsChild>
    </w:div>
    <w:div w:id="1236210139">
      <w:bodyDiv w:val="1"/>
      <w:marLeft w:val="0"/>
      <w:marRight w:val="0"/>
      <w:marTop w:val="0"/>
      <w:marBottom w:val="0"/>
      <w:divBdr>
        <w:top w:val="none" w:sz="0" w:space="0" w:color="auto"/>
        <w:left w:val="none" w:sz="0" w:space="0" w:color="auto"/>
        <w:bottom w:val="none" w:sz="0" w:space="0" w:color="auto"/>
        <w:right w:val="none" w:sz="0" w:space="0" w:color="auto"/>
      </w:divBdr>
      <w:divsChild>
        <w:div w:id="122159263">
          <w:marLeft w:val="374"/>
          <w:marRight w:val="0"/>
          <w:marTop w:val="0"/>
          <w:marBottom w:val="0"/>
          <w:divBdr>
            <w:top w:val="none" w:sz="0" w:space="0" w:color="auto"/>
            <w:left w:val="none" w:sz="0" w:space="0" w:color="auto"/>
            <w:bottom w:val="none" w:sz="0" w:space="0" w:color="auto"/>
            <w:right w:val="none" w:sz="0" w:space="0" w:color="auto"/>
          </w:divBdr>
        </w:div>
        <w:div w:id="778572061">
          <w:marLeft w:val="374"/>
          <w:marRight w:val="0"/>
          <w:marTop w:val="0"/>
          <w:marBottom w:val="0"/>
          <w:divBdr>
            <w:top w:val="none" w:sz="0" w:space="0" w:color="auto"/>
            <w:left w:val="none" w:sz="0" w:space="0" w:color="auto"/>
            <w:bottom w:val="none" w:sz="0" w:space="0" w:color="auto"/>
            <w:right w:val="none" w:sz="0" w:space="0" w:color="auto"/>
          </w:divBdr>
        </w:div>
        <w:div w:id="772171628">
          <w:marLeft w:val="374"/>
          <w:marRight w:val="0"/>
          <w:marTop w:val="0"/>
          <w:marBottom w:val="0"/>
          <w:divBdr>
            <w:top w:val="none" w:sz="0" w:space="0" w:color="auto"/>
            <w:left w:val="none" w:sz="0" w:space="0" w:color="auto"/>
            <w:bottom w:val="none" w:sz="0" w:space="0" w:color="auto"/>
            <w:right w:val="none" w:sz="0" w:space="0" w:color="auto"/>
          </w:divBdr>
        </w:div>
      </w:divsChild>
    </w:div>
    <w:div w:id="1242519923">
      <w:bodyDiv w:val="1"/>
      <w:marLeft w:val="0"/>
      <w:marRight w:val="0"/>
      <w:marTop w:val="0"/>
      <w:marBottom w:val="0"/>
      <w:divBdr>
        <w:top w:val="none" w:sz="0" w:space="0" w:color="auto"/>
        <w:left w:val="none" w:sz="0" w:space="0" w:color="auto"/>
        <w:bottom w:val="none" w:sz="0" w:space="0" w:color="auto"/>
        <w:right w:val="none" w:sz="0" w:space="0" w:color="auto"/>
      </w:divBdr>
    </w:div>
    <w:div w:id="1312830211">
      <w:bodyDiv w:val="1"/>
      <w:marLeft w:val="0"/>
      <w:marRight w:val="0"/>
      <w:marTop w:val="0"/>
      <w:marBottom w:val="0"/>
      <w:divBdr>
        <w:top w:val="none" w:sz="0" w:space="0" w:color="auto"/>
        <w:left w:val="none" w:sz="0" w:space="0" w:color="auto"/>
        <w:bottom w:val="none" w:sz="0" w:space="0" w:color="auto"/>
        <w:right w:val="none" w:sz="0" w:space="0" w:color="auto"/>
      </w:divBdr>
      <w:divsChild>
        <w:div w:id="757142888">
          <w:marLeft w:val="374"/>
          <w:marRight w:val="0"/>
          <w:marTop w:val="0"/>
          <w:marBottom w:val="0"/>
          <w:divBdr>
            <w:top w:val="none" w:sz="0" w:space="0" w:color="auto"/>
            <w:left w:val="none" w:sz="0" w:space="0" w:color="auto"/>
            <w:bottom w:val="none" w:sz="0" w:space="0" w:color="auto"/>
            <w:right w:val="none" w:sz="0" w:space="0" w:color="auto"/>
          </w:divBdr>
        </w:div>
        <w:div w:id="2061439322">
          <w:marLeft w:val="374"/>
          <w:marRight w:val="0"/>
          <w:marTop w:val="0"/>
          <w:marBottom w:val="0"/>
          <w:divBdr>
            <w:top w:val="none" w:sz="0" w:space="0" w:color="auto"/>
            <w:left w:val="none" w:sz="0" w:space="0" w:color="auto"/>
            <w:bottom w:val="none" w:sz="0" w:space="0" w:color="auto"/>
            <w:right w:val="none" w:sz="0" w:space="0" w:color="auto"/>
          </w:divBdr>
        </w:div>
        <w:div w:id="1520894610">
          <w:marLeft w:val="374"/>
          <w:marRight w:val="0"/>
          <w:marTop w:val="0"/>
          <w:marBottom w:val="0"/>
          <w:divBdr>
            <w:top w:val="none" w:sz="0" w:space="0" w:color="auto"/>
            <w:left w:val="none" w:sz="0" w:space="0" w:color="auto"/>
            <w:bottom w:val="none" w:sz="0" w:space="0" w:color="auto"/>
            <w:right w:val="none" w:sz="0" w:space="0" w:color="auto"/>
          </w:divBdr>
        </w:div>
        <w:div w:id="1569421337">
          <w:marLeft w:val="374"/>
          <w:marRight w:val="0"/>
          <w:marTop w:val="0"/>
          <w:marBottom w:val="0"/>
          <w:divBdr>
            <w:top w:val="none" w:sz="0" w:space="0" w:color="auto"/>
            <w:left w:val="none" w:sz="0" w:space="0" w:color="auto"/>
            <w:bottom w:val="none" w:sz="0" w:space="0" w:color="auto"/>
            <w:right w:val="none" w:sz="0" w:space="0" w:color="auto"/>
          </w:divBdr>
        </w:div>
        <w:div w:id="1542666174">
          <w:marLeft w:val="374"/>
          <w:marRight w:val="0"/>
          <w:marTop w:val="0"/>
          <w:marBottom w:val="0"/>
          <w:divBdr>
            <w:top w:val="none" w:sz="0" w:space="0" w:color="auto"/>
            <w:left w:val="none" w:sz="0" w:space="0" w:color="auto"/>
            <w:bottom w:val="none" w:sz="0" w:space="0" w:color="auto"/>
            <w:right w:val="none" w:sz="0" w:space="0" w:color="auto"/>
          </w:divBdr>
        </w:div>
        <w:div w:id="651714850">
          <w:marLeft w:val="749"/>
          <w:marRight w:val="0"/>
          <w:marTop w:val="0"/>
          <w:marBottom w:val="0"/>
          <w:divBdr>
            <w:top w:val="none" w:sz="0" w:space="0" w:color="auto"/>
            <w:left w:val="none" w:sz="0" w:space="0" w:color="auto"/>
            <w:bottom w:val="none" w:sz="0" w:space="0" w:color="auto"/>
            <w:right w:val="none" w:sz="0" w:space="0" w:color="auto"/>
          </w:divBdr>
        </w:div>
        <w:div w:id="530529800">
          <w:marLeft w:val="749"/>
          <w:marRight w:val="0"/>
          <w:marTop w:val="0"/>
          <w:marBottom w:val="0"/>
          <w:divBdr>
            <w:top w:val="none" w:sz="0" w:space="0" w:color="auto"/>
            <w:left w:val="none" w:sz="0" w:space="0" w:color="auto"/>
            <w:bottom w:val="none" w:sz="0" w:space="0" w:color="auto"/>
            <w:right w:val="none" w:sz="0" w:space="0" w:color="auto"/>
          </w:divBdr>
        </w:div>
        <w:div w:id="1261139611">
          <w:marLeft w:val="374"/>
          <w:marRight w:val="0"/>
          <w:marTop w:val="0"/>
          <w:marBottom w:val="0"/>
          <w:divBdr>
            <w:top w:val="none" w:sz="0" w:space="0" w:color="auto"/>
            <w:left w:val="none" w:sz="0" w:space="0" w:color="auto"/>
            <w:bottom w:val="none" w:sz="0" w:space="0" w:color="auto"/>
            <w:right w:val="none" w:sz="0" w:space="0" w:color="auto"/>
          </w:divBdr>
        </w:div>
      </w:divsChild>
    </w:div>
    <w:div w:id="1321620329">
      <w:bodyDiv w:val="1"/>
      <w:marLeft w:val="0"/>
      <w:marRight w:val="0"/>
      <w:marTop w:val="0"/>
      <w:marBottom w:val="0"/>
      <w:divBdr>
        <w:top w:val="none" w:sz="0" w:space="0" w:color="auto"/>
        <w:left w:val="none" w:sz="0" w:space="0" w:color="auto"/>
        <w:bottom w:val="none" w:sz="0" w:space="0" w:color="auto"/>
        <w:right w:val="none" w:sz="0" w:space="0" w:color="auto"/>
      </w:divBdr>
    </w:div>
    <w:div w:id="1330325641">
      <w:bodyDiv w:val="1"/>
      <w:marLeft w:val="0"/>
      <w:marRight w:val="0"/>
      <w:marTop w:val="0"/>
      <w:marBottom w:val="0"/>
      <w:divBdr>
        <w:top w:val="none" w:sz="0" w:space="0" w:color="auto"/>
        <w:left w:val="none" w:sz="0" w:space="0" w:color="auto"/>
        <w:bottom w:val="none" w:sz="0" w:space="0" w:color="auto"/>
        <w:right w:val="none" w:sz="0" w:space="0" w:color="auto"/>
      </w:divBdr>
    </w:div>
    <w:div w:id="1362705412">
      <w:bodyDiv w:val="1"/>
      <w:marLeft w:val="0"/>
      <w:marRight w:val="0"/>
      <w:marTop w:val="0"/>
      <w:marBottom w:val="0"/>
      <w:divBdr>
        <w:top w:val="none" w:sz="0" w:space="0" w:color="auto"/>
        <w:left w:val="none" w:sz="0" w:space="0" w:color="auto"/>
        <w:bottom w:val="none" w:sz="0" w:space="0" w:color="auto"/>
        <w:right w:val="none" w:sz="0" w:space="0" w:color="auto"/>
      </w:divBdr>
    </w:div>
    <w:div w:id="1377581745">
      <w:bodyDiv w:val="1"/>
      <w:marLeft w:val="0"/>
      <w:marRight w:val="0"/>
      <w:marTop w:val="0"/>
      <w:marBottom w:val="0"/>
      <w:divBdr>
        <w:top w:val="none" w:sz="0" w:space="0" w:color="auto"/>
        <w:left w:val="none" w:sz="0" w:space="0" w:color="auto"/>
        <w:bottom w:val="none" w:sz="0" w:space="0" w:color="auto"/>
        <w:right w:val="none" w:sz="0" w:space="0" w:color="auto"/>
      </w:divBdr>
    </w:div>
    <w:div w:id="1388456388">
      <w:bodyDiv w:val="1"/>
      <w:marLeft w:val="0"/>
      <w:marRight w:val="0"/>
      <w:marTop w:val="0"/>
      <w:marBottom w:val="0"/>
      <w:divBdr>
        <w:top w:val="none" w:sz="0" w:space="0" w:color="auto"/>
        <w:left w:val="none" w:sz="0" w:space="0" w:color="auto"/>
        <w:bottom w:val="none" w:sz="0" w:space="0" w:color="auto"/>
        <w:right w:val="none" w:sz="0" w:space="0" w:color="auto"/>
      </w:divBdr>
    </w:div>
    <w:div w:id="1466586759">
      <w:bodyDiv w:val="1"/>
      <w:marLeft w:val="0"/>
      <w:marRight w:val="0"/>
      <w:marTop w:val="0"/>
      <w:marBottom w:val="0"/>
      <w:divBdr>
        <w:top w:val="none" w:sz="0" w:space="0" w:color="auto"/>
        <w:left w:val="none" w:sz="0" w:space="0" w:color="auto"/>
        <w:bottom w:val="none" w:sz="0" w:space="0" w:color="auto"/>
        <w:right w:val="none" w:sz="0" w:space="0" w:color="auto"/>
      </w:divBdr>
    </w:div>
    <w:div w:id="1624534801">
      <w:bodyDiv w:val="1"/>
      <w:marLeft w:val="0"/>
      <w:marRight w:val="0"/>
      <w:marTop w:val="0"/>
      <w:marBottom w:val="0"/>
      <w:divBdr>
        <w:top w:val="none" w:sz="0" w:space="0" w:color="auto"/>
        <w:left w:val="none" w:sz="0" w:space="0" w:color="auto"/>
        <w:bottom w:val="none" w:sz="0" w:space="0" w:color="auto"/>
        <w:right w:val="none" w:sz="0" w:space="0" w:color="auto"/>
      </w:divBdr>
    </w:div>
    <w:div w:id="1632319364">
      <w:bodyDiv w:val="1"/>
      <w:marLeft w:val="0"/>
      <w:marRight w:val="0"/>
      <w:marTop w:val="0"/>
      <w:marBottom w:val="0"/>
      <w:divBdr>
        <w:top w:val="none" w:sz="0" w:space="0" w:color="auto"/>
        <w:left w:val="none" w:sz="0" w:space="0" w:color="auto"/>
        <w:bottom w:val="none" w:sz="0" w:space="0" w:color="auto"/>
        <w:right w:val="none" w:sz="0" w:space="0" w:color="auto"/>
      </w:divBdr>
    </w:div>
    <w:div w:id="1667322681">
      <w:bodyDiv w:val="1"/>
      <w:marLeft w:val="0"/>
      <w:marRight w:val="0"/>
      <w:marTop w:val="0"/>
      <w:marBottom w:val="0"/>
      <w:divBdr>
        <w:top w:val="none" w:sz="0" w:space="0" w:color="auto"/>
        <w:left w:val="none" w:sz="0" w:space="0" w:color="auto"/>
        <w:bottom w:val="none" w:sz="0" w:space="0" w:color="auto"/>
        <w:right w:val="none" w:sz="0" w:space="0" w:color="auto"/>
      </w:divBdr>
    </w:div>
    <w:div w:id="1671179202">
      <w:bodyDiv w:val="1"/>
      <w:marLeft w:val="0"/>
      <w:marRight w:val="0"/>
      <w:marTop w:val="0"/>
      <w:marBottom w:val="0"/>
      <w:divBdr>
        <w:top w:val="none" w:sz="0" w:space="0" w:color="auto"/>
        <w:left w:val="none" w:sz="0" w:space="0" w:color="auto"/>
        <w:bottom w:val="none" w:sz="0" w:space="0" w:color="auto"/>
        <w:right w:val="none" w:sz="0" w:space="0" w:color="auto"/>
      </w:divBdr>
    </w:div>
    <w:div w:id="1687708499">
      <w:bodyDiv w:val="1"/>
      <w:marLeft w:val="0"/>
      <w:marRight w:val="0"/>
      <w:marTop w:val="0"/>
      <w:marBottom w:val="0"/>
      <w:divBdr>
        <w:top w:val="none" w:sz="0" w:space="0" w:color="auto"/>
        <w:left w:val="none" w:sz="0" w:space="0" w:color="auto"/>
        <w:bottom w:val="none" w:sz="0" w:space="0" w:color="auto"/>
        <w:right w:val="none" w:sz="0" w:space="0" w:color="auto"/>
      </w:divBdr>
      <w:divsChild>
        <w:div w:id="1642612532">
          <w:marLeft w:val="374"/>
          <w:marRight w:val="0"/>
          <w:marTop w:val="0"/>
          <w:marBottom w:val="0"/>
          <w:divBdr>
            <w:top w:val="none" w:sz="0" w:space="0" w:color="auto"/>
            <w:left w:val="none" w:sz="0" w:space="0" w:color="auto"/>
            <w:bottom w:val="none" w:sz="0" w:space="0" w:color="auto"/>
            <w:right w:val="none" w:sz="0" w:space="0" w:color="auto"/>
          </w:divBdr>
        </w:div>
        <w:div w:id="891693311">
          <w:marLeft w:val="374"/>
          <w:marRight w:val="0"/>
          <w:marTop w:val="0"/>
          <w:marBottom w:val="0"/>
          <w:divBdr>
            <w:top w:val="none" w:sz="0" w:space="0" w:color="auto"/>
            <w:left w:val="none" w:sz="0" w:space="0" w:color="auto"/>
            <w:bottom w:val="none" w:sz="0" w:space="0" w:color="auto"/>
            <w:right w:val="none" w:sz="0" w:space="0" w:color="auto"/>
          </w:divBdr>
        </w:div>
        <w:div w:id="1597203057">
          <w:marLeft w:val="374"/>
          <w:marRight w:val="0"/>
          <w:marTop w:val="0"/>
          <w:marBottom w:val="0"/>
          <w:divBdr>
            <w:top w:val="none" w:sz="0" w:space="0" w:color="auto"/>
            <w:left w:val="none" w:sz="0" w:space="0" w:color="auto"/>
            <w:bottom w:val="none" w:sz="0" w:space="0" w:color="auto"/>
            <w:right w:val="none" w:sz="0" w:space="0" w:color="auto"/>
          </w:divBdr>
        </w:div>
        <w:div w:id="724840597">
          <w:marLeft w:val="374"/>
          <w:marRight w:val="0"/>
          <w:marTop w:val="0"/>
          <w:marBottom w:val="0"/>
          <w:divBdr>
            <w:top w:val="none" w:sz="0" w:space="0" w:color="auto"/>
            <w:left w:val="none" w:sz="0" w:space="0" w:color="auto"/>
            <w:bottom w:val="none" w:sz="0" w:space="0" w:color="auto"/>
            <w:right w:val="none" w:sz="0" w:space="0" w:color="auto"/>
          </w:divBdr>
        </w:div>
      </w:divsChild>
    </w:div>
    <w:div w:id="1782843634">
      <w:bodyDiv w:val="1"/>
      <w:marLeft w:val="0"/>
      <w:marRight w:val="0"/>
      <w:marTop w:val="0"/>
      <w:marBottom w:val="0"/>
      <w:divBdr>
        <w:top w:val="none" w:sz="0" w:space="0" w:color="auto"/>
        <w:left w:val="none" w:sz="0" w:space="0" w:color="auto"/>
        <w:bottom w:val="none" w:sz="0" w:space="0" w:color="auto"/>
        <w:right w:val="none" w:sz="0" w:space="0" w:color="auto"/>
      </w:divBdr>
    </w:div>
    <w:div w:id="1784766482">
      <w:bodyDiv w:val="1"/>
      <w:marLeft w:val="0"/>
      <w:marRight w:val="0"/>
      <w:marTop w:val="0"/>
      <w:marBottom w:val="0"/>
      <w:divBdr>
        <w:top w:val="none" w:sz="0" w:space="0" w:color="auto"/>
        <w:left w:val="none" w:sz="0" w:space="0" w:color="auto"/>
        <w:bottom w:val="none" w:sz="0" w:space="0" w:color="auto"/>
        <w:right w:val="none" w:sz="0" w:space="0" w:color="auto"/>
      </w:divBdr>
      <w:divsChild>
        <w:div w:id="1141650938">
          <w:marLeft w:val="374"/>
          <w:marRight w:val="0"/>
          <w:marTop w:val="0"/>
          <w:marBottom w:val="0"/>
          <w:divBdr>
            <w:top w:val="none" w:sz="0" w:space="0" w:color="auto"/>
            <w:left w:val="none" w:sz="0" w:space="0" w:color="auto"/>
            <w:bottom w:val="none" w:sz="0" w:space="0" w:color="auto"/>
            <w:right w:val="none" w:sz="0" w:space="0" w:color="auto"/>
          </w:divBdr>
        </w:div>
        <w:div w:id="65999742">
          <w:marLeft w:val="374"/>
          <w:marRight w:val="0"/>
          <w:marTop w:val="0"/>
          <w:marBottom w:val="0"/>
          <w:divBdr>
            <w:top w:val="none" w:sz="0" w:space="0" w:color="auto"/>
            <w:left w:val="none" w:sz="0" w:space="0" w:color="auto"/>
            <w:bottom w:val="none" w:sz="0" w:space="0" w:color="auto"/>
            <w:right w:val="none" w:sz="0" w:space="0" w:color="auto"/>
          </w:divBdr>
        </w:div>
        <w:div w:id="1019812498">
          <w:marLeft w:val="374"/>
          <w:marRight w:val="0"/>
          <w:marTop w:val="0"/>
          <w:marBottom w:val="0"/>
          <w:divBdr>
            <w:top w:val="none" w:sz="0" w:space="0" w:color="auto"/>
            <w:left w:val="none" w:sz="0" w:space="0" w:color="auto"/>
            <w:bottom w:val="none" w:sz="0" w:space="0" w:color="auto"/>
            <w:right w:val="none" w:sz="0" w:space="0" w:color="auto"/>
          </w:divBdr>
        </w:div>
      </w:divsChild>
    </w:div>
    <w:div w:id="1804470033">
      <w:bodyDiv w:val="1"/>
      <w:marLeft w:val="0"/>
      <w:marRight w:val="0"/>
      <w:marTop w:val="0"/>
      <w:marBottom w:val="0"/>
      <w:divBdr>
        <w:top w:val="none" w:sz="0" w:space="0" w:color="auto"/>
        <w:left w:val="none" w:sz="0" w:space="0" w:color="auto"/>
        <w:bottom w:val="none" w:sz="0" w:space="0" w:color="auto"/>
        <w:right w:val="none" w:sz="0" w:space="0" w:color="auto"/>
      </w:divBdr>
    </w:div>
    <w:div w:id="1822119147">
      <w:bodyDiv w:val="1"/>
      <w:marLeft w:val="0"/>
      <w:marRight w:val="0"/>
      <w:marTop w:val="0"/>
      <w:marBottom w:val="0"/>
      <w:divBdr>
        <w:top w:val="none" w:sz="0" w:space="0" w:color="auto"/>
        <w:left w:val="none" w:sz="0" w:space="0" w:color="auto"/>
        <w:bottom w:val="none" w:sz="0" w:space="0" w:color="auto"/>
        <w:right w:val="none" w:sz="0" w:space="0" w:color="auto"/>
      </w:divBdr>
      <w:divsChild>
        <w:div w:id="1306163131">
          <w:marLeft w:val="374"/>
          <w:marRight w:val="0"/>
          <w:marTop w:val="0"/>
          <w:marBottom w:val="0"/>
          <w:divBdr>
            <w:top w:val="none" w:sz="0" w:space="0" w:color="auto"/>
            <w:left w:val="none" w:sz="0" w:space="0" w:color="auto"/>
            <w:bottom w:val="none" w:sz="0" w:space="0" w:color="auto"/>
            <w:right w:val="none" w:sz="0" w:space="0" w:color="auto"/>
          </w:divBdr>
        </w:div>
        <w:div w:id="1280182282">
          <w:marLeft w:val="374"/>
          <w:marRight w:val="0"/>
          <w:marTop w:val="0"/>
          <w:marBottom w:val="0"/>
          <w:divBdr>
            <w:top w:val="none" w:sz="0" w:space="0" w:color="auto"/>
            <w:left w:val="none" w:sz="0" w:space="0" w:color="auto"/>
            <w:bottom w:val="none" w:sz="0" w:space="0" w:color="auto"/>
            <w:right w:val="none" w:sz="0" w:space="0" w:color="auto"/>
          </w:divBdr>
        </w:div>
      </w:divsChild>
    </w:div>
    <w:div w:id="1868180425">
      <w:bodyDiv w:val="1"/>
      <w:marLeft w:val="0"/>
      <w:marRight w:val="0"/>
      <w:marTop w:val="0"/>
      <w:marBottom w:val="0"/>
      <w:divBdr>
        <w:top w:val="none" w:sz="0" w:space="0" w:color="auto"/>
        <w:left w:val="none" w:sz="0" w:space="0" w:color="auto"/>
        <w:bottom w:val="none" w:sz="0" w:space="0" w:color="auto"/>
        <w:right w:val="none" w:sz="0" w:space="0" w:color="auto"/>
      </w:divBdr>
    </w:div>
    <w:div w:id="1879120597">
      <w:bodyDiv w:val="1"/>
      <w:marLeft w:val="0"/>
      <w:marRight w:val="0"/>
      <w:marTop w:val="0"/>
      <w:marBottom w:val="0"/>
      <w:divBdr>
        <w:top w:val="none" w:sz="0" w:space="0" w:color="auto"/>
        <w:left w:val="none" w:sz="0" w:space="0" w:color="auto"/>
        <w:bottom w:val="none" w:sz="0" w:space="0" w:color="auto"/>
        <w:right w:val="none" w:sz="0" w:space="0" w:color="auto"/>
      </w:divBdr>
    </w:div>
    <w:div w:id="2000423167">
      <w:bodyDiv w:val="1"/>
      <w:marLeft w:val="0"/>
      <w:marRight w:val="0"/>
      <w:marTop w:val="0"/>
      <w:marBottom w:val="0"/>
      <w:divBdr>
        <w:top w:val="none" w:sz="0" w:space="0" w:color="auto"/>
        <w:left w:val="none" w:sz="0" w:space="0" w:color="auto"/>
        <w:bottom w:val="none" w:sz="0" w:space="0" w:color="auto"/>
        <w:right w:val="none" w:sz="0" w:space="0" w:color="auto"/>
      </w:divBdr>
      <w:divsChild>
        <w:div w:id="1823424960">
          <w:marLeft w:val="374"/>
          <w:marRight w:val="0"/>
          <w:marTop w:val="0"/>
          <w:marBottom w:val="0"/>
          <w:divBdr>
            <w:top w:val="none" w:sz="0" w:space="0" w:color="auto"/>
            <w:left w:val="none" w:sz="0" w:space="0" w:color="auto"/>
            <w:bottom w:val="none" w:sz="0" w:space="0" w:color="auto"/>
            <w:right w:val="none" w:sz="0" w:space="0" w:color="auto"/>
          </w:divBdr>
        </w:div>
        <w:div w:id="721099265">
          <w:marLeft w:val="374"/>
          <w:marRight w:val="0"/>
          <w:marTop w:val="0"/>
          <w:marBottom w:val="0"/>
          <w:divBdr>
            <w:top w:val="none" w:sz="0" w:space="0" w:color="auto"/>
            <w:left w:val="none" w:sz="0" w:space="0" w:color="auto"/>
            <w:bottom w:val="none" w:sz="0" w:space="0" w:color="auto"/>
            <w:right w:val="none" w:sz="0" w:space="0" w:color="auto"/>
          </w:divBdr>
        </w:div>
        <w:div w:id="185799719">
          <w:marLeft w:val="374"/>
          <w:marRight w:val="0"/>
          <w:marTop w:val="0"/>
          <w:marBottom w:val="0"/>
          <w:divBdr>
            <w:top w:val="none" w:sz="0" w:space="0" w:color="auto"/>
            <w:left w:val="none" w:sz="0" w:space="0" w:color="auto"/>
            <w:bottom w:val="none" w:sz="0" w:space="0" w:color="auto"/>
            <w:right w:val="none" w:sz="0" w:space="0" w:color="auto"/>
          </w:divBdr>
        </w:div>
        <w:div w:id="380591784">
          <w:marLeft w:val="374"/>
          <w:marRight w:val="0"/>
          <w:marTop w:val="0"/>
          <w:marBottom w:val="0"/>
          <w:divBdr>
            <w:top w:val="none" w:sz="0" w:space="0" w:color="auto"/>
            <w:left w:val="none" w:sz="0" w:space="0" w:color="auto"/>
            <w:bottom w:val="none" w:sz="0" w:space="0" w:color="auto"/>
            <w:right w:val="none" w:sz="0" w:space="0" w:color="auto"/>
          </w:divBdr>
        </w:div>
      </w:divsChild>
    </w:div>
    <w:div w:id="2000649246">
      <w:bodyDiv w:val="1"/>
      <w:marLeft w:val="0"/>
      <w:marRight w:val="0"/>
      <w:marTop w:val="0"/>
      <w:marBottom w:val="0"/>
      <w:divBdr>
        <w:top w:val="none" w:sz="0" w:space="0" w:color="auto"/>
        <w:left w:val="none" w:sz="0" w:space="0" w:color="auto"/>
        <w:bottom w:val="none" w:sz="0" w:space="0" w:color="auto"/>
        <w:right w:val="none" w:sz="0" w:space="0" w:color="auto"/>
      </w:divBdr>
    </w:div>
    <w:div w:id="2000846212">
      <w:bodyDiv w:val="1"/>
      <w:marLeft w:val="0"/>
      <w:marRight w:val="0"/>
      <w:marTop w:val="0"/>
      <w:marBottom w:val="0"/>
      <w:divBdr>
        <w:top w:val="none" w:sz="0" w:space="0" w:color="auto"/>
        <w:left w:val="none" w:sz="0" w:space="0" w:color="auto"/>
        <w:bottom w:val="none" w:sz="0" w:space="0" w:color="auto"/>
        <w:right w:val="none" w:sz="0" w:space="0" w:color="auto"/>
      </w:divBdr>
    </w:div>
    <w:div w:id="2005234303">
      <w:bodyDiv w:val="1"/>
      <w:marLeft w:val="0"/>
      <w:marRight w:val="0"/>
      <w:marTop w:val="0"/>
      <w:marBottom w:val="0"/>
      <w:divBdr>
        <w:top w:val="none" w:sz="0" w:space="0" w:color="auto"/>
        <w:left w:val="none" w:sz="0" w:space="0" w:color="auto"/>
        <w:bottom w:val="none" w:sz="0" w:space="0" w:color="auto"/>
        <w:right w:val="none" w:sz="0" w:space="0" w:color="auto"/>
      </w:divBdr>
    </w:div>
    <w:div w:id="2062289520">
      <w:bodyDiv w:val="1"/>
      <w:marLeft w:val="0"/>
      <w:marRight w:val="0"/>
      <w:marTop w:val="0"/>
      <w:marBottom w:val="0"/>
      <w:divBdr>
        <w:top w:val="none" w:sz="0" w:space="0" w:color="auto"/>
        <w:left w:val="none" w:sz="0" w:space="0" w:color="auto"/>
        <w:bottom w:val="none" w:sz="0" w:space="0" w:color="auto"/>
        <w:right w:val="none" w:sz="0" w:space="0" w:color="auto"/>
      </w:divBdr>
    </w:div>
    <w:div w:id="2106337100">
      <w:bodyDiv w:val="1"/>
      <w:marLeft w:val="0"/>
      <w:marRight w:val="0"/>
      <w:marTop w:val="0"/>
      <w:marBottom w:val="0"/>
      <w:divBdr>
        <w:top w:val="none" w:sz="0" w:space="0" w:color="auto"/>
        <w:left w:val="none" w:sz="0" w:space="0" w:color="auto"/>
        <w:bottom w:val="none" w:sz="0" w:space="0" w:color="auto"/>
        <w:right w:val="none" w:sz="0" w:space="0" w:color="auto"/>
      </w:divBdr>
    </w:div>
    <w:div w:id="21255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bc.net.au/news/2023-11-22/felixstow-murder-charge-laid-as-police-investigate-womens-deaths/103135096" TargetMode="External"/><Relationship Id="rId26" Type="http://schemas.openxmlformats.org/officeDocument/2006/relationships/hyperlink" Target="https://www.aihw.gov.au/family-domestic-and-sexual-violence/responses-and-outcomes/housing" TargetMode="External"/><Relationship Id="rId39" Type="http://schemas.openxmlformats.org/officeDocument/2006/relationships/hyperlink" Target="https://budget.gov.au/content/womens-statement/index.htm" TargetMode="External"/><Relationship Id="rId21" Type="http://schemas.openxmlformats.org/officeDocument/2006/relationships/hyperlink" Target="https://www.dss.gov.au/the-national-plan-to-end-violence-against-women-and-children/the-national-plan-to-end-violence-against-women-and-children-2022-2032" TargetMode="External"/><Relationship Id="rId34" Type="http://schemas.openxmlformats.org/officeDocument/2006/relationships/hyperlink" Target="https://www.statebudget.sa.gov.au/budget-papers" TargetMode="External"/><Relationship Id="rId42" Type="http://schemas.openxmlformats.org/officeDocument/2006/relationships/hyperlink" Target="https://www.asx.com.au/blog/listed-at-asx/room-for-improvement-more-women-needed-in-executive-roles" TargetMode="External"/><Relationship Id="rId47" Type="http://schemas.openxmlformats.org/officeDocument/2006/relationships/hyperlink" Target="https://www.clearinghouseforsport.gov.au/kb/women-in-sport/factors-influencing-participation" TargetMode="External"/><Relationship Id="rId50" Type="http://schemas.openxmlformats.org/officeDocument/2006/relationships/hyperlink" Target="https://budget.gov.au/content/womens-statement/index.htm" TargetMode="External"/><Relationship Id="rId55"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bs.gov.au/statistics/people/crime-and-justice/recorded-crime-victims/2021" TargetMode="External"/><Relationship Id="rId25" Type="http://schemas.openxmlformats.org/officeDocument/2006/relationships/hyperlink" Target="https://www.dss.gov.au/the-national-plan-to-end-violence-against-women-and-children/the-national-plan-to-end-violence-against-women-and-children-2022-2032" TargetMode="External"/><Relationship Id="rId33" Type="http://schemas.openxmlformats.org/officeDocument/2006/relationships/hyperlink" Target="https://www.superannuation.asn.au/wp-content/uploads/2023/09/1403-LevelAndDistributionRetirementSavings.pdf" TargetMode="External"/><Relationship Id="rId38" Type="http://schemas.openxmlformats.org/officeDocument/2006/relationships/hyperlink" Target="https://www.abs.gov.au/statistics/labour/employment-and-unemployment/labour-force-australia-detailed/feb-2024" TargetMode="External"/><Relationship Id="rId46" Type="http://schemas.openxmlformats.org/officeDocument/2006/relationships/hyperlink" Target="https://www.wgea.gov.au/data-statistics/data-explorer" TargetMode="External"/><Relationship Id="rId2" Type="http://schemas.openxmlformats.org/officeDocument/2006/relationships/customXml" Target="../customXml/item2.xml"/><Relationship Id="rId16" Type="http://schemas.openxmlformats.org/officeDocument/2006/relationships/hyperlink" Target="https://www.abs.gov.au/statistics/people/crime-and-justice/personal-safety-australia/2021-22" TargetMode="External"/><Relationship Id="rId20" Type="http://schemas.openxmlformats.org/officeDocument/2006/relationships/hyperlink" Target="https://www.ncas.au/findings-from-the-nmesc-report" TargetMode="External"/><Relationship Id="rId29" Type="http://schemas.openxmlformats.org/officeDocument/2006/relationships/hyperlink" Target="https://www.abs.gov.au/statistics/labour/employment-and-unemployment/labour-force-status-families/jun-2023" TargetMode="External"/><Relationship Id="rId41" Type="http://schemas.openxmlformats.org/officeDocument/2006/relationships/hyperlink" Target="https://www.wgea.gov.au/data-statistics/data-explorer" TargetMode="External"/><Relationship Id="rId54" Type="http://schemas.openxmlformats.org/officeDocument/2006/relationships/hyperlink" Target="https://budget.gov.au/content/womens-statement/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ihw.gov.au/family-domestic-and-sexual-violence/responses-and-outcomes/housing" TargetMode="External"/><Relationship Id="rId32" Type="http://schemas.openxmlformats.org/officeDocument/2006/relationships/hyperlink" Target="https://www.superannuation.asn.au/wp-content/uploads/2023/09/1403-LevelAndDistributionRetirementSavings.pdf" TargetMode="External"/><Relationship Id="rId37" Type="http://schemas.openxmlformats.org/officeDocument/2006/relationships/hyperlink" Target="https://budget.gov.au/content/womens-statement/index.htm" TargetMode="External"/><Relationship Id="rId40" Type="http://schemas.openxmlformats.org/officeDocument/2006/relationships/hyperlink" Target="https://www.abs.gov.au/statistics/labour/earnings-and-working-conditions/average-weekly-earnings-australia/nov-2023" TargetMode="External"/><Relationship Id="rId45" Type="http://schemas.openxmlformats.org/officeDocument/2006/relationships/hyperlink" Target="https://www.wgea.gov.au/data-statistics/data-explorer" TargetMode="External"/><Relationship Id="rId53" Type="http://schemas.openxmlformats.org/officeDocument/2006/relationships/hyperlink" Target="https://www.abs.gov.au/statistics/health/mental-health/national-study-mental-health-and-wellbeing/2020-2022"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huri.edu.au/analysis/brief/what-are-real-costs-australias-housing-crisis-women" TargetMode="External"/><Relationship Id="rId28" Type="http://schemas.openxmlformats.org/officeDocument/2006/relationships/hyperlink" Target="https://www.abs.gov.au/statistics/people/people-and-communities/gender-indicators" TargetMode="External"/><Relationship Id="rId36" Type="http://schemas.openxmlformats.org/officeDocument/2006/relationships/hyperlink" Target="https://budget.gov.au/content/womens-statement/index.htm" TargetMode="External"/><Relationship Id="rId49" Type="http://schemas.openxmlformats.org/officeDocument/2006/relationships/hyperlink" Target="https://www.wgea.gov.au/data-statistics/data-explorer"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bs.gov.au/statistics/people/crime-and-justice/personal-safety-australia/2021-22" TargetMode="External"/><Relationship Id="rId31" Type="http://schemas.openxmlformats.org/officeDocument/2006/relationships/hyperlink" Target="https://www.abs.gov.au/statistics/labour/employment-and-unemployment/labour-force-status-families/jun-2023" TargetMode="External"/><Relationship Id="rId44" Type="http://schemas.openxmlformats.org/officeDocument/2006/relationships/hyperlink" Target="https://www.wgea.gov.au/data-statistics/data-explorer" TargetMode="External"/><Relationship Id="rId52" Type="http://schemas.openxmlformats.org/officeDocument/2006/relationships/hyperlink" Target="https://www.abs.gov.au/statistics/health/mental-health/national-study-mental-health-and-wellbeing/2020-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bs.gov.au/statistics/people/crime-and-justice/personal-safety-australia/2021-22" TargetMode="External"/><Relationship Id="rId27" Type="http://schemas.openxmlformats.org/officeDocument/2006/relationships/hyperlink" Target="https://www.dss.gov.au/the-national-plan-to-end-violence-against-women-and-children/the-national-plan-to-end-violence-against-women-and-children-2022-2032" TargetMode="External"/><Relationship Id="rId30" Type="http://schemas.openxmlformats.org/officeDocument/2006/relationships/hyperlink" Target="https://roymorgan-cms-dev.s3.ap-southeast-2.amazonaws.com/wp-content/uploads/2023/04/18044817/9203-Superannuation-Gender-Gap-Closing.pdf" TargetMode="External"/><Relationship Id="rId35" Type="http://schemas.openxmlformats.org/officeDocument/2006/relationships/hyperlink" Target="https://www.abs.gov.au/statistics/people/people-and-communities/how-australians-use-their-time/2020-21" TargetMode="External"/><Relationship Id="rId43" Type="http://schemas.openxmlformats.org/officeDocument/2006/relationships/hyperlink" Target="https://www.aicd.com.au/content/dam/aicd/pdf/news-media/media-release/2024/aicd-media-release-gender-diveristy-080324.pdf" TargetMode="External"/><Relationship Id="rId48" Type="http://schemas.openxmlformats.org/officeDocument/2006/relationships/hyperlink" Target="https://www.wgea.gov.au/data-statistics/data-explorer"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tatebudget.sa.gov.au/budget-paper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1992dd-3f2a-4830-993f-9d7570a7de8f">
      <Terms xmlns="http://schemas.microsoft.com/office/infopath/2007/PartnerControls"/>
    </lcf76f155ced4ddcb4097134ff3c332f>
    <TaxCatchAll xmlns="dc1328ec-5db0-4adb-8da4-f62d70296e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617A1A1D6D5F47AA06DB6E5BA87FA2" ma:contentTypeVersion="18" ma:contentTypeDescription="Create a new document." ma:contentTypeScope="" ma:versionID="01c521a09c7e23e9be13c2bc33f3d7e4">
  <xsd:schema xmlns:xsd="http://www.w3.org/2001/XMLSchema" xmlns:xs="http://www.w3.org/2001/XMLSchema" xmlns:p="http://schemas.microsoft.com/office/2006/metadata/properties" xmlns:ns2="d61992dd-3f2a-4830-993f-9d7570a7de8f" xmlns:ns3="dc1328ec-5db0-4adb-8da4-f62d70296ec0" targetNamespace="http://schemas.microsoft.com/office/2006/metadata/properties" ma:root="true" ma:fieldsID="e17a655e2b3a41a8e6fe0d3bf803c1e7" ns2:_="" ns3:_="">
    <xsd:import namespace="d61992dd-3f2a-4830-993f-9d7570a7de8f"/>
    <xsd:import namespace="dc1328ec-5db0-4adb-8da4-f62d70296e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992dd-3f2a-4830-993f-9d7570a7d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1328ec-5db0-4adb-8da4-f62d70296e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18bf70-b9b4-4b5f-a103-bd8f6e27bc33}" ma:internalName="TaxCatchAll" ma:showField="CatchAllData" ma:web="dc1328ec-5db0-4adb-8da4-f62d70296e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717E3-80D6-4C71-BD20-BEE50D1A30A8}">
  <ds:schemaRefs>
    <ds:schemaRef ds:uri="http://purl.org/dc/elements/1.1/"/>
    <ds:schemaRef ds:uri="http://schemas.microsoft.com/office/2006/metadata/properties"/>
    <ds:schemaRef ds:uri="dc1328ec-5db0-4adb-8da4-f62d70296ec0"/>
    <ds:schemaRef ds:uri="d61992dd-3f2a-4830-993f-9d7570a7de8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5D1A853-E33D-4503-BDD5-E5C857F8E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992dd-3f2a-4830-993f-9d7570a7de8f"/>
    <ds:schemaRef ds:uri="dc1328ec-5db0-4adb-8da4-f62d70296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65CC6-2913-4A9A-B06D-3D3EF1CEE3C7}">
  <ds:schemaRefs>
    <ds:schemaRef ds:uri="http://schemas.openxmlformats.org/officeDocument/2006/bibliography"/>
  </ds:schemaRefs>
</ds:datastoreItem>
</file>

<file path=customXml/itemProps4.xml><?xml version="1.0" encoding="utf-8"?>
<ds:datastoreItem xmlns:ds="http://schemas.openxmlformats.org/officeDocument/2006/customXml" ds:itemID="{696682DD-D606-4F51-B9E5-C2A9C1CF91B0}">
  <ds:schemaRefs>
    <ds:schemaRef ds:uri="http://schemas.microsoft.com/sharepoint/v3/contenttype/fo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17</TotalTime>
  <Pages>24</Pages>
  <Words>5493</Words>
  <Characters>31316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36736</CharactersWithSpaces>
  <SharedDoc>false</SharedDoc>
  <HLinks>
    <vt:vector size="468" baseType="variant">
      <vt:variant>
        <vt:i4>1900545</vt:i4>
      </vt:variant>
      <vt:variant>
        <vt:i4>270</vt:i4>
      </vt:variant>
      <vt:variant>
        <vt:i4>0</vt:i4>
      </vt:variant>
      <vt:variant>
        <vt:i4>5</vt:i4>
      </vt:variant>
      <vt:variant>
        <vt:lpwstr>https://budget.gov.au/content/womens-statement/index.htm</vt:lpwstr>
      </vt:variant>
      <vt:variant>
        <vt:lpwstr/>
      </vt:variant>
      <vt:variant>
        <vt:i4>1900545</vt:i4>
      </vt:variant>
      <vt:variant>
        <vt:i4>267</vt:i4>
      </vt:variant>
      <vt:variant>
        <vt:i4>0</vt:i4>
      </vt:variant>
      <vt:variant>
        <vt:i4>5</vt:i4>
      </vt:variant>
      <vt:variant>
        <vt:lpwstr>https://budget.gov.au/content/womens-statement/index.htm</vt:lpwstr>
      </vt:variant>
      <vt:variant>
        <vt:lpwstr/>
      </vt:variant>
      <vt:variant>
        <vt:i4>5832733</vt:i4>
      </vt:variant>
      <vt:variant>
        <vt:i4>264</vt:i4>
      </vt:variant>
      <vt:variant>
        <vt:i4>0</vt:i4>
      </vt:variant>
      <vt:variant>
        <vt:i4>5</vt:i4>
      </vt:variant>
      <vt:variant>
        <vt:lpwstr>https://www.abs.gov.au/statistics/health/mental-health/national-study-mental- health-and-wellbeing/2020-2022</vt:lpwstr>
      </vt:variant>
      <vt:variant>
        <vt:lpwstr/>
      </vt:variant>
      <vt:variant>
        <vt:i4>5832733</vt:i4>
      </vt:variant>
      <vt:variant>
        <vt:i4>261</vt:i4>
      </vt:variant>
      <vt:variant>
        <vt:i4>0</vt:i4>
      </vt:variant>
      <vt:variant>
        <vt:i4>5</vt:i4>
      </vt:variant>
      <vt:variant>
        <vt:lpwstr>https://www.abs.gov.au/statistics/health/mental-health/national-study-mental- health-and-wellbeing/2020-2022</vt:lpwstr>
      </vt:variant>
      <vt:variant>
        <vt:lpwstr/>
      </vt:variant>
      <vt:variant>
        <vt:i4>5832733</vt:i4>
      </vt:variant>
      <vt:variant>
        <vt:i4>258</vt:i4>
      </vt:variant>
      <vt:variant>
        <vt:i4>0</vt:i4>
      </vt:variant>
      <vt:variant>
        <vt:i4>5</vt:i4>
      </vt:variant>
      <vt:variant>
        <vt:lpwstr>https://www.abs.gov.au/statistics/health/mental-health/national-study-mental- health-and-wellbeing/2020-2022</vt:lpwstr>
      </vt:variant>
      <vt:variant>
        <vt:lpwstr/>
      </vt:variant>
      <vt:variant>
        <vt:i4>5832733</vt:i4>
      </vt:variant>
      <vt:variant>
        <vt:i4>255</vt:i4>
      </vt:variant>
      <vt:variant>
        <vt:i4>0</vt:i4>
      </vt:variant>
      <vt:variant>
        <vt:i4>5</vt:i4>
      </vt:variant>
      <vt:variant>
        <vt:lpwstr>https://www.abs.gov.au/statistics/health/mental-health/national-study-mental- health-and-wellbeing/2020-2022</vt:lpwstr>
      </vt:variant>
      <vt:variant>
        <vt:lpwstr/>
      </vt:variant>
      <vt:variant>
        <vt:i4>3080306</vt:i4>
      </vt:variant>
      <vt:variant>
        <vt:i4>252</vt:i4>
      </vt:variant>
      <vt:variant>
        <vt:i4>0</vt:i4>
      </vt:variant>
      <vt:variant>
        <vt:i4>5</vt:i4>
      </vt:variant>
      <vt:variant>
        <vt:lpwstr>https://www.statebudget.sa.gov.au/budget-papers</vt:lpwstr>
      </vt:variant>
      <vt:variant>
        <vt:lpwstr/>
      </vt:variant>
      <vt:variant>
        <vt:i4>3080306</vt:i4>
      </vt:variant>
      <vt:variant>
        <vt:i4>249</vt:i4>
      </vt:variant>
      <vt:variant>
        <vt:i4>0</vt:i4>
      </vt:variant>
      <vt:variant>
        <vt:i4>5</vt:i4>
      </vt:variant>
      <vt:variant>
        <vt:lpwstr>https://www.statebudget.sa.gov.au/budget-papers</vt:lpwstr>
      </vt:variant>
      <vt:variant>
        <vt:lpwstr/>
      </vt:variant>
      <vt:variant>
        <vt:i4>1900545</vt:i4>
      </vt:variant>
      <vt:variant>
        <vt:i4>246</vt:i4>
      </vt:variant>
      <vt:variant>
        <vt:i4>0</vt:i4>
      </vt:variant>
      <vt:variant>
        <vt:i4>5</vt:i4>
      </vt:variant>
      <vt:variant>
        <vt:lpwstr>https://budget.gov.au/content/womens-statement/index.htm</vt:lpwstr>
      </vt:variant>
      <vt:variant>
        <vt:lpwstr/>
      </vt:variant>
      <vt:variant>
        <vt:i4>1900545</vt:i4>
      </vt:variant>
      <vt:variant>
        <vt:i4>243</vt:i4>
      </vt:variant>
      <vt:variant>
        <vt:i4>0</vt:i4>
      </vt:variant>
      <vt:variant>
        <vt:i4>5</vt:i4>
      </vt:variant>
      <vt:variant>
        <vt:lpwstr>https://budget.gov.au/content/womens-statement/index.htm</vt:lpwstr>
      </vt:variant>
      <vt:variant>
        <vt:lpwstr/>
      </vt:variant>
      <vt:variant>
        <vt:i4>5046343</vt:i4>
      </vt:variant>
      <vt:variant>
        <vt:i4>240</vt:i4>
      </vt:variant>
      <vt:variant>
        <vt:i4>0</vt:i4>
      </vt:variant>
      <vt:variant>
        <vt:i4>5</vt:i4>
      </vt:variant>
      <vt:variant>
        <vt:lpwstr>https://www.wgea.gov.au/data-statistics/data-explorer</vt:lpwstr>
      </vt:variant>
      <vt:variant>
        <vt:lpwstr/>
      </vt:variant>
      <vt:variant>
        <vt:i4>5046343</vt:i4>
      </vt:variant>
      <vt:variant>
        <vt:i4>237</vt:i4>
      </vt:variant>
      <vt:variant>
        <vt:i4>0</vt:i4>
      </vt:variant>
      <vt:variant>
        <vt:i4>5</vt:i4>
      </vt:variant>
      <vt:variant>
        <vt:lpwstr>https://www.wgea.gov.au/data-statistics/data-explorer</vt:lpwstr>
      </vt:variant>
      <vt:variant>
        <vt:lpwstr/>
      </vt:variant>
      <vt:variant>
        <vt:i4>5046343</vt:i4>
      </vt:variant>
      <vt:variant>
        <vt:i4>234</vt:i4>
      </vt:variant>
      <vt:variant>
        <vt:i4>0</vt:i4>
      </vt:variant>
      <vt:variant>
        <vt:i4>5</vt:i4>
      </vt:variant>
      <vt:variant>
        <vt:lpwstr>https://www.wgea.gov.au/data-statistics/data-explorer</vt:lpwstr>
      </vt:variant>
      <vt:variant>
        <vt:lpwstr/>
      </vt:variant>
      <vt:variant>
        <vt:i4>5046343</vt:i4>
      </vt:variant>
      <vt:variant>
        <vt:i4>231</vt:i4>
      </vt:variant>
      <vt:variant>
        <vt:i4>0</vt:i4>
      </vt:variant>
      <vt:variant>
        <vt:i4>5</vt:i4>
      </vt:variant>
      <vt:variant>
        <vt:lpwstr>https://www.wgea.gov.au/data-statistics/data-explorer</vt:lpwstr>
      </vt:variant>
      <vt:variant>
        <vt:lpwstr/>
      </vt:variant>
      <vt:variant>
        <vt:i4>5832725</vt:i4>
      </vt:variant>
      <vt:variant>
        <vt:i4>228</vt:i4>
      </vt:variant>
      <vt:variant>
        <vt:i4>0</vt:i4>
      </vt:variant>
      <vt:variant>
        <vt:i4>5</vt:i4>
      </vt:variant>
      <vt:variant>
        <vt:lpwstr>https://www.clearinghouseforsport.gov.au/kb/women-in-sport/factors-influencing-participation</vt:lpwstr>
      </vt:variant>
      <vt:variant>
        <vt:lpwstr/>
      </vt:variant>
      <vt:variant>
        <vt:i4>5832725</vt:i4>
      </vt:variant>
      <vt:variant>
        <vt:i4>225</vt:i4>
      </vt:variant>
      <vt:variant>
        <vt:i4>0</vt:i4>
      </vt:variant>
      <vt:variant>
        <vt:i4>5</vt:i4>
      </vt:variant>
      <vt:variant>
        <vt:lpwstr>https://www.clearinghouseforsport.gov.au/kb/women-in-sport/factors-influencing-participation</vt:lpwstr>
      </vt:variant>
      <vt:variant>
        <vt:lpwstr/>
      </vt:variant>
      <vt:variant>
        <vt:i4>5046343</vt:i4>
      </vt:variant>
      <vt:variant>
        <vt:i4>222</vt:i4>
      </vt:variant>
      <vt:variant>
        <vt:i4>0</vt:i4>
      </vt:variant>
      <vt:variant>
        <vt:i4>5</vt:i4>
      </vt:variant>
      <vt:variant>
        <vt:lpwstr>https://www.wgea.gov.au/data-statistics/data-explorer</vt:lpwstr>
      </vt:variant>
      <vt:variant>
        <vt:lpwstr/>
      </vt:variant>
      <vt:variant>
        <vt:i4>5046343</vt:i4>
      </vt:variant>
      <vt:variant>
        <vt:i4>219</vt:i4>
      </vt:variant>
      <vt:variant>
        <vt:i4>0</vt:i4>
      </vt:variant>
      <vt:variant>
        <vt:i4>5</vt:i4>
      </vt:variant>
      <vt:variant>
        <vt:lpwstr>https://www.wgea.gov.au/data-statistics/data-explorer</vt:lpwstr>
      </vt:variant>
      <vt:variant>
        <vt:lpwstr/>
      </vt:variant>
      <vt:variant>
        <vt:i4>5046343</vt:i4>
      </vt:variant>
      <vt:variant>
        <vt:i4>216</vt:i4>
      </vt:variant>
      <vt:variant>
        <vt:i4>0</vt:i4>
      </vt:variant>
      <vt:variant>
        <vt:i4>5</vt:i4>
      </vt:variant>
      <vt:variant>
        <vt:lpwstr>https://www.wgea.gov.au/data-statistics/data-explorer</vt:lpwstr>
      </vt:variant>
      <vt:variant>
        <vt:lpwstr/>
      </vt:variant>
      <vt:variant>
        <vt:i4>5046343</vt:i4>
      </vt:variant>
      <vt:variant>
        <vt:i4>213</vt:i4>
      </vt:variant>
      <vt:variant>
        <vt:i4>0</vt:i4>
      </vt:variant>
      <vt:variant>
        <vt:i4>5</vt:i4>
      </vt:variant>
      <vt:variant>
        <vt:lpwstr>https://www.wgea.gov.au/data-statistics/data-explorer</vt:lpwstr>
      </vt:variant>
      <vt:variant>
        <vt:lpwstr/>
      </vt:variant>
      <vt:variant>
        <vt:i4>5046343</vt:i4>
      </vt:variant>
      <vt:variant>
        <vt:i4>210</vt:i4>
      </vt:variant>
      <vt:variant>
        <vt:i4>0</vt:i4>
      </vt:variant>
      <vt:variant>
        <vt:i4>5</vt:i4>
      </vt:variant>
      <vt:variant>
        <vt:lpwstr>https://www.wgea.gov.au/data-statistics/data-explorer</vt:lpwstr>
      </vt:variant>
      <vt:variant>
        <vt:lpwstr/>
      </vt:variant>
      <vt:variant>
        <vt:i4>5046343</vt:i4>
      </vt:variant>
      <vt:variant>
        <vt:i4>207</vt:i4>
      </vt:variant>
      <vt:variant>
        <vt:i4>0</vt:i4>
      </vt:variant>
      <vt:variant>
        <vt:i4>5</vt:i4>
      </vt:variant>
      <vt:variant>
        <vt:lpwstr>https://www.wgea.gov.au/data-statistics/data-explorer</vt:lpwstr>
      </vt:variant>
      <vt:variant>
        <vt:lpwstr/>
      </vt:variant>
      <vt:variant>
        <vt:i4>5570629</vt:i4>
      </vt:variant>
      <vt:variant>
        <vt:i4>204</vt:i4>
      </vt:variant>
      <vt:variant>
        <vt:i4>0</vt:i4>
      </vt:variant>
      <vt:variant>
        <vt:i4>5</vt:i4>
      </vt:variant>
      <vt:variant>
        <vt:lpwstr>https://www.aicd.com.au/content/dam/aicd/pdf/news-media/media-release/2024/aicd-media-release-gender-diveristy-080324.pdf</vt:lpwstr>
      </vt:variant>
      <vt:variant>
        <vt:lpwstr/>
      </vt:variant>
      <vt:variant>
        <vt:i4>5570629</vt:i4>
      </vt:variant>
      <vt:variant>
        <vt:i4>201</vt:i4>
      </vt:variant>
      <vt:variant>
        <vt:i4>0</vt:i4>
      </vt:variant>
      <vt:variant>
        <vt:i4>5</vt:i4>
      </vt:variant>
      <vt:variant>
        <vt:lpwstr>https://www.aicd.com.au/content/dam/aicd/pdf/news-media/media-release/2024/aicd-media-release-gender-diveristy-080324.pdf</vt:lpwstr>
      </vt:variant>
      <vt:variant>
        <vt:lpwstr/>
      </vt:variant>
      <vt:variant>
        <vt:i4>7602217</vt:i4>
      </vt:variant>
      <vt:variant>
        <vt:i4>198</vt:i4>
      </vt:variant>
      <vt:variant>
        <vt:i4>0</vt:i4>
      </vt:variant>
      <vt:variant>
        <vt:i4>5</vt:i4>
      </vt:variant>
      <vt:variant>
        <vt:lpwstr>https://www.asx.com.au/blog/listed-at-asx/room-for-improvement-more-women-needed-in-executive-roles</vt:lpwstr>
      </vt:variant>
      <vt:variant>
        <vt:lpwstr/>
      </vt:variant>
      <vt:variant>
        <vt:i4>5046343</vt:i4>
      </vt:variant>
      <vt:variant>
        <vt:i4>195</vt:i4>
      </vt:variant>
      <vt:variant>
        <vt:i4>0</vt:i4>
      </vt:variant>
      <vt:variant>
        <vt:i4>5</vt:i4>
      </vt:variant>
      <vt:variant>
        <vt:lpwstr>https://www.wgea.gov.au/data-statistics/data-explorer</vt:lpwstr>
      </vt:variant>
      <vt:variant>
        <vt:lpwstr/>
      </vt:variant>
      <vt:variant>
        <vt:i4>6815801</vt:i4>
      </vt:variant>
      <vt:variant>
        <vt:i4>192</vt:i4>
      </vt:variant>
      <vt:variant>
        <vt:i4>0</vt:i4>
      </vt:variant>
      <vt:variant>
        <vt:i4>5</vt:i4>
      </vt:variant>
      <vt:variant>
        <vt:lpwstr>https://www.abs.gov.au/statistics/labour/earnings-and-working-conditions/average-weekly-earnings-australia/nov-2023</vt:lpwstr>
      </vt:variant>
      <vt:variant>
        <vt:lpwstr/>
      </vt:variant>
      <vt:variant>
        <vt:i4>6815801</vt:i4>
      </vt:variant>
      <vt:variant>
        <vt:i4>189</vt:i4>
      </vt:variant>
      <vt:variant>
        <vt:i4>0</vt:i4>
      </vt:variant>
      <vt:variant>
        <vt:i4>5</vt:i4>
      </vt:variant>
      <vt:variant>
        <vt:lpwstr>https://www.abs.gov.au/statistics/labour/earnings-and-working-conditions/average-weekly-earnings-australia/nov-2023</vt:lpwstr>
      </vt:variant>
      <vt:variant>
        <vt:lpwstr/>
      </vt:variant>
      <vt:variant>
        <vt:i4>1900545</vt:i4>
      </vt:variant>
      <vt:variant>
        <vt:i4>186</vt:i4>
      </vt:variant>
      <vt:variant>
        <vt:i4>0</vt:i4>
      </vt:variant>
      <vt:variant>
        <vt:i4>5</vt:i4>
      </vt:variant>
      <vt:variant>
        <vt:lpwstr>https://budget.gov.au/content/womens-statement/index.htm</vt:lpwstr>
      </vt:variant>
      <vt:variant>
        <vt:lpwstr/>
      </vt:variant>
      <vt:variant>
        <vt:i4>1900545</vt:i4>
      </vt:variant>
      <vt:variant>
        <vt:i4>183</vt:i4>
      </vt:variant>
      <vt:variant>
        <vt:i4>0</vt:i4>
      </vt:variant>
      <vt:variant>
        <vt:i4>5</vt:i4>
      </vt:variant>
      <vt:variant>
        <vt:lpwstr>https://budget.gov.au/content/womens-statement/index.htm</vt:lpwstr>
      </vt:variant>
      <vt:variant>
        <vt:lpwstr/>
      </vt:variant>
      <vt:variant>
        <vt:i4>4456532</vt:i4>
      </vt:variant>
      <vt:variant>
        <vt:i4>180</vt:i4>
      </vt:variant>
      <vt:variant>
        <vt:i4>0</vt:i4>
      </vt:variant>
      <vt:variant>
        <vt:i4>5</vt:i4>
      </vt:variant>
      <vt:variant>
        <vt:lpwstr>https://www.abs.gov.au/statistics/labour/employment-and-unemployment/labour-force-australia-detailed/feb-2024</vt:lpwstr>
      </vt:variant>
      <vt:variant>
        <vt:lpwstr/>
      </vt:variant>
      <vt:variant>
        <vt:i4>4456532</vt:i4>
      </vt:variant>
      <vt:variant>
        <vt:i4>177</vt:i4>
      </vt:variant>
      <vt:variant>
        <vt:i4>0</vt:i4>
      </vt:variant>
      <vt:variant>
        <vt:i4>5</vt:i4>
      </vt:variant>
      <vt:variant>
        <vt:lpwstr>https://www.abs.gov.au/statistics/labour/employment-and-unemployment/labour-force-australia-detailed/feb-2024</vt:lpwstr>
      </vt:variant>
      <vt:variant>
        <vt:lpwstr/>
      </vt:variant>
      <vt:variant>
        <vt:i4>1900545</vt:i4>
      </vt:variant>
      <vt:variant>
        <vt:i4>174</vt:i4>
      </vt:variant>
      <vt:variant>
        <vt:i4>0</vt:i4>
      </vt:variant>
      <vt:variant>
        <vt:i4>5</vt:i4>
      </vt:variant>
      <vt:variant>
        <vt:lpwstr>https://budget.gov.au/content/womens-statement/index.htm</vt:lpwstr>
      </vt:variant>
      <vt:variant>
        <vt:lpwstr/>
      </vt:variant>
      <vt:variant>
        <vt:i4>1900545</vt:i4>
      </vt:variant>
      <vt:variant>
        <vt:i4>171</vt:i4>
      </vt:variant>
      <vt:variant>
        <vt:i4>0</vt:i4>
      </vt:variant>
      <vt:variant>
        <vt:i4>5</vt:i4>
      </vt:variant>
      <vt:variant>
        <vt:lpwstr>https://budget.gov.au/content/womens-statement/index.htm</vt:lpwstr>
      </vt:variant>
      <vt:variant>
        <vt:lpwstr/>
      </vt:variant>
      <vt:variant>
        <vt:i4>1900545</vt:i4>
      </vt:variant>
      <vt:variant>
        <vt:i4>168</vt:i4>
      </vt:variant>
      <vt:variant>
        <vt:i4>0</vt:i4>
      </vt:variant>
      <vt:variant>
        <vt:i4>5</vt:i4>
      </vt:variant>
      <vt:variant>
        <vt:lpwstr>https://budget.gov.au/content/womens-statement/index.htm</vt:lpwstr>
      </vt:variant>
      <vt:variant>
        <vt:lpwstr/>
      </vt:variant>
      <vt:variant>
        <vt:i4>6750307</vt:i4>
      </vt:variant>
      <vt:variant>
        <vt:i4>165</vt:i4>
      </vt:variant>
      <vt:variant>
        <vt:i4>0</vt:i4>
      </vt:variant>
      <vt:variant>
        <vt:i4>5</vt:i4>
      </vt:variant>
      <vt:variant>
        <vt:lpwstr>https://www.abs.gov.au/statistics/people/people-and-communities/how- australians-use-their-time/2020-21</vt:lpwstr>
      </vt:variant>
      <vt:variant>
        <vt:lpwstr/>
      </vt:variant>
      <vt:variant>
        <vt:i4>6750307</vt:i4>
      </vt:variant>
      <vt:variant>
        <vt:i4>162</vt:i4>
      </vt:variant>
      <vt:variant>
        <vt:i4>0</vt:i4>
      </vt:variant>
      <vt:variant>
        <vt:i4>5</vt:i4>
      </vt:variant>
      <vt:variant>
        <vt:lpwstr>https://www.abs.gov.au/statistics/people/people-and-communities/how- australians-use-their-time/2020-21</vt:lpwstr>
      </vt:variant>
      <vt:variant>
        <vt:lpwstr/>
      </vt:variant>
      <vt:variant>
        <vt:i4>3080306</vt:i4>
      </vt:variant>
      <vt:variant>
        <vt:i4>159</vt:i4>
      </vt:variant>
      <vt:variant>
        <vt:i4>0</vt:i4>
      </vt:variant>
      <vt:variant>
        <vt:i4>5</vt:i4>
      </vt:variant>
      <vt:variant>
        <vt:lpwstr>https://www.statebudget.sa.gov.au/budget-papers</vt:lpwstr>
      </vt:variant>
      <vt:variant>
        <vt:lpwstr/>
      </vt:variant>
      <vt:variant>
        <vt:i4>3080306</vt:i4>
      </vt:variant>
      <vt:variant>
        <vt:i4>156</vt:i4>
      </vt:variant>
      <vt:variant>
        <vt:i4>0</vt:i4>
      </vt:variant>
      <vt:variant>
        <vt:i4>5</vt:i4>
      </vt:variant>
      <vt:variant>
        <vt:lpwstr>https://www.statebudget.sa.gov.au/budget-papers</vt:lpwstr>
      </vt:variant>
      <vt:variant>
        <vt:lpwstr/>
      </vt:variant>
      <vt:variant>
        <vt:i4>5242886</vt:i4>
      </vt:variant>
      <vt:variant>
        <vt:i4>153</vt:i4>
      </vt:variant>
      <vt:variant>
        <vt:i4>0</vt:i4>
      </vt:variant>
      <vt:variant>
        <vt:i4>5</vt:i4>
      </vt:variant>
      <vt:variant>
        <vt:lpwstr>https://www.superannuation.asn.au/wp-content/uploads/2023/09/1403- LevelAndDistributionRetirementSavings.pdf</vt:lpwstr>
      </vt:variant>
      <vt:variant>
        <vt:lpwstr/>
      </vt:variant>
      <vt:variant>
        <vt:i4>5242886</vt:i4>
      </vt:variant>
      <vt:variant>
        <vt:i4>150</vt:i4>
      </vt:variant>
      <vt:variant>
        <vt:i4>0</vt:i4>
      </vt:variant>
      <vt:variant>
        <vt:i4>5</vt:i4>
      </vt:variant>
      <vt:variant>
        <vt:lpwstr>https://www.superannuation.asn.au/wp-content/uploads/2023/09/1403- LevelAndDistributionRetirementSavings.pdf</vt:lpwstr>
      </vt:variant>
      <vt:variant>
        <vt:lpwstr/>
      </vt:variant>
      <vt:variant>
        <vt:i4>5242886</vt:i4>
      </vt:variant>
      <vt:variant>
        <vt:i4>147</vt:i4>
      </vt:variant>
      <vt:variant>
        <vt:i4>0</vt:i4>
      </vt:variant>
      <vt:variant>
        <vt:i4>5</vt:i4>
      </vt:variant>
      <vt:variant>
        <vt:lpwstr>https://www.superannuation.asn.au/wp-content/uploads/2023/09/1403- LevelAndDistributionRetirementSavings.pdf</vt:lpwstr>
      </vt:variant>
      <vt:variant>
        <vt:lpwstr/>
      </vt:variant>
      <vt:variant>
        <vt:i4>5242886</vt:i4>
      </vt:variant>
      <vt:variant>
        <vt:i4>144</vt:i4>
      </vt:variant>
      <vt:variant>
        <vt:i4>0</vt:i4>
      </vt:variant>
      <vt:variant>
        <vt:i4>5</vt:i4>
      </vt:variant>
      <vt:variant>
        <vt:lpwstr>https://www.superannuation.asn.au/wp-content/uploads/2023/09/1403- LevelAndDistributionRetirementSavings.pdf</vt:lpwstr>
      </vt:variant>
      <vt:variant>
        <vt:lpwstr/>
      </vt:variant>
      <vt:variant>
        <vt:i4>7143470</vt:i4>
      </vt:variant>
      <vt:variant>
        <vt:i4>141</vt:i4>
      </vt:variant>
      <vt:variant>
        <vt:i4>0</vt:i4>
      </vt:variant>
      <vt:variant>
        <vt:i4>5</vt:i4>
      </vt:variant>
      <vt:variant>
        <vt:lpwstr>https://www.abs.gov.au/statistics/labour/employment-and-unemployment/labour-force-status-families/jun-2023</vt:lpwstr>
      </vt:variant>
      <vt:variant>
        <vt:lpwstr/>
      </vt:variant>
      <vt:variant>
        <vt:i4>5046296</vt:i4>
      </vt:variant>
      <vt:variant>
        <vt:i4>138</vt:i4>
      </vt:variant>
      <vt:variant>
        <vt:i4>0</vt:i4>
      </vt:variant>
      <vt:variant>
        <vt:i4>5</vt:i4>
      </vt:variant>
      <vt:variant>
        <vt:lpwstr>https://roymorgan-cms-dev.s3.ap-southeast-2.amazonaws.com/wp-content/uploads/2023/04/18044817/9203-Superannuation-Gender-Gap-Closing.pdf</vt:lpwstr>
      </vt:variant>
      <vt:variant>
        <vt:lpwstr/>
      </vt:variant>
      <vt:variant>
        <vt:i4>7143470</vt:i4>
      </vt:variant>
      <vt:variant>
        <vt:i4>135</vt:i4>
      </vt:variant>
      <vt:variant>
        <vt:i4>0</vt:i4>
      </vt:variant>
      <vt:variant>
        <vt:i4>5</vt:i4>
      </vt:variant>
      <vt:variant>
        <vt:lpwstr>https://www.abs.gov.au/statistics/labour/employment-and-unemployment/labour-force-status-families/jun-2023</vt:lpwstr>
      </vt:variant>
      <vt:variant>
        <vt:lpwstr/>
      </vt:variant>
      <vt:variant>
        <vt:i4>7143470</vt:i4>
      </vt:variant>
      <vt:variant>
        <vt:i4>132</vt:i4>
      </vt:variant>
      <vt:variant>
        <vt:i4>0</vt:i4>
      </vt:variant>
      <vt:variant>
        <vt:i4>5</vt:i4>
      </vt:variant>
      <vt:variant>
        <vt:lpwstr>https://www.abs.gov.au/statistics/labour/employment-and-unemployment/labour-force-status-families/jun-2023</vt:lpwstr>
      </vt:variant>
      <vt:variant>
        <vt:lpwstr/>
      </vt:variant>
      <vt:variant>
        <vt:i4>5701645</vt:i4>
      </vt:variant>
      <vt:variant>
        <vt:i4>129</vt:i4>
      </vt:variant>
      <vt:variant>
        <vt:i4>0</vt:i4>
      </vt:variant>
      <vt:variant>
        <vt:i4>5</vt:i4>
      </vt:variant>
      <vt:variant>
        <vt:lpwstr>https://www.abs.gov.au/statistics/people/people-and-communities/gender-indicators</vt:lpwstr>
      </vt:variant>
      <vt:variant>
        <vt:lpwstr/>
      </vt:variant>
      <vt:variant>
        <vt:i4>5701645</vt:i4>
      </vt:variant>
      <vt:variant>
        <vt:i4>126</vt:i4>
      </vt:variant>
      <vt:variant>
        <vt:i4>0</vt:i4>
      </vt:variant>
      <vt:variant>
        <vt:i4>5</vt:i4>
      </vt:variant>
      <vt:variant>
        <vt:lpwstr>https://www.abs.gov.au/statistics/people/people-and-communities/gender-indicators</vt:lpwstr>
      </vt:variant>
      <vt:variant>
        <vt:lpwstr/>
      </vt:variant>
      <vt:variant>
        <vt:i4>4718671</vt:i4>
      </vt:variant>
      <vt:variant>
        <vt:i4>123</vt:i4>
      </vt:variant>
      <vt:variant>
        <vt:i4>0</vt:i4>
      </vt:variant>
      <vt:variant>
        <vt:i4>5</vt:i4>
      </vt:variant>
      <vt:variant>
        <vt:lpwstr>https://www.dss.gov.au/the-national-plan-to-end-violence-against-women- and-children/the-national-plan-to-end-violence-against-women-and- children-2022-2032</vt:lpwstr>
      </vt:variant>
      <vt:variant>
        <vt:lpwstr/>
      </vt:variant>
      <vt:variant>
        <vt:i4>4718671</vt:i4>
      </vt:variant>
      <vt:variant>
        <vt:i4>120</vt:i4>
      </vt:variant>
      <vt:variant>
        <vt:i4>0</vt:i4>
      </vt:variant>
      <vt:variant>
        <vt:i4>5</vt:i4>
      </vt:variant>
      <vt:variant>
        <vt:lpwstr>https://www.dss.gov.au/the-national-plan-to-end-violence-against-women- and-children/the-national-plan-to-end-violence-against-women-and- children-2022-2032</vt:lpwstr>
      </vt:variant>
      <vt:variant>
        <vt:lpwstr/>
      </vt:variant>
      <vt:variant>
        <vt:i4>2228335</vt:i4>
      </vt:variant>
      <vt:variant>
        <vt:i4>117</vt:i4>
      </vt:variant>
      <vt:variant>
        <vt:i4>0</vt:i4>
      </vt:variant>
      <vt:variant>
        <vt:i4>5</vt:i4>
      </vt:variant>
      <vt:variant>
        <vt:lpwstr>https://www.aihw.gov.au/family-domestic-and-sexual-violence/responses-and-outcomes/housing</vt:lpwstr>
      </vt:variant>
      <vt:variant>
        <vt:lpwstr/>
      </vt:variant>
      <vt:variant>
        <vt:i4>2228335</vt:i4>
      </vt:variant>
      <vt:variant>
        <vt:i4>114</vt:i4>
      </vt:variant>
      <vt:variant>
        <vt:i4>0</vt:i4>
      </vt:variant>
      <vt:variant>
        <vt:i4>5</vt:i4>
      </vt:variant>
      <vt:variant>
        <vt:lpwstr>https://www.aihw.gov.au/family-domestic-and-sexual-violence/responses-and-outcomes/housing</vt:lpwstr>
      </vt:variant>
      <vt:variant>
        <vt:lpwstr/>
      </vt:variant>
      <vt:variant>
        <vt:i4>4718671</vt:i4>
      </vt:variant>
      <vt:variant>
        <vt:i4>111</vt:i4>
      </vt:variant>
      <vt:variant>
        <vt:i4>0</vt:i4>
      </vt:variant>
      <vt:variant>
        <vt:i4>5</vt:i4>
      </vt:variant>
      <vt:variant>
        <vt:lpwstr>https://www.dss.gov.au/the-national-plan-to-end-violence-against-women- and-children/the-national-plan-to-end-violence-against-women-and- children-2022-2032</vt:lpwstr>
      </vt:variant>
      <vt:variant>
        <vt:lpwstr/>
      </vt:variant>
      <vt:variant>
        <vt:i4>4718671</vt:i4>
      </vt:variant>
      <vt:variant>
        <vt:i4>108</vt:i4>
      </vt:variant>
      <vt:variant>
        <vt:i4>0</vt:i4>
      </vt:variant>
      <vt:variant>
        <vt:i4>5</vt:i4>
      </vt:variant>
      <vt:variant>
        <vt:lpwstr>https://www.dss.gov.au/the-national-plan-to-end-violence-against-women- and-children/the-national-plan-to-end-violence-against-women-and- children-2022-2032</vt:lpwstr>
      </vt:variant>
      <vt:variant>
        <vt:lpwstr/>
      </vt:variant>
      <vt:variant>
        <vt:i4>2228335</vt:i4>
      </vt:variant>
      <vt:variant>
        <vt:i4>105</vt:i4>
      </vt:variant>
      <vt:variant>
        <vt:i4>0</vt:i4>
      </vt:variant>
      <vt:variant>
        <vt:i4>5</vt:i4>
      </vt:variant>
      <vt:variant>
        <vt:lpwstr>https://www.aihw.gov.au/family-domestic-and-sexual-violence/responses-and-outcomes/housing</vt:lpwstr>
      </vt:variant>
      <vt:variant>
        <vt:lpwstr/>
      </vt:variant>
      <vt:variant>
        <vt:i4>2228335</vt:i4>
      </vt:variant>
      <vt:variant>
        <vt:i4>102</vt:i4>
      </vt:variant>
      <vt:variant>
        <vt:i4>0</vt:i4>
      </vt:variant>
      <vt:variant>
        <vt:i4>5</vt:i4>
      </vt:variant>
      <vt:variant>
        <vt:lpwstr>https://www.aihw.gov.au/family-domestic-and-sexual-violence/responses-and-outcomes/housing</vt:lpwstr>
      </vt:variant>
      <vt:variant>
        <vt:lpwstr/>
      </vt:variant>
      <vt:variant>
        <vt:i4>7929973</vt:i4>
      </vt:variant>
      <vt:variant>
        <vt:i4>99</vt:i4>
      </vt:variant>
      <vt:variant>
        <vt:i4>0</vt:i4>
      </vt:variant>
      <vt:variant>
        <vt:i4>5</vt:i4>
      </vt:variant>
      <vt:variant>
        <vt:lpwstr>https://www.ahuri.edu.au/analysis/brief/what-are-real-costs-australias-housing-crisis-women</vt:lpwstr>
      </vt:variant>
      <vt:variant>
        <vt:lpwstr/>
      </vt:variant>
      <vt:variant>
        <vt:i4>7929973</vt:i4>
      </vt:variant>
      <vt:variant>
        <vt:i4>96</vt:i4>
      </vt:variant>
      <vt:variant>
        <vt:i4>0</vt:i4>
      </vt:variant>
      <vt:variant>
        <vt:i4>5</vt:i4>
      </vt:variant>
      <vt:variant>
        <vt:lpwstr>https://www.ahuri.edu.au/analysis/brief/what-are-real-costs-australias-housing-crisis-women</vt:lpwstr>
      </vt:variant>
      <vt:variant>
        <vt:lpwstr/>
      </vt:variant>
      <vt:variant>
        <vt:i4>1384482</vt:i4>
      </vt:variant>
      <vt:variant>
        <vt:i4>93</vt:i4>
      </vt:variant>
      <vt:variant>
        <vt:i4>0</vt:i4>
      </vt:variant>
      <vt:variant>
        <vt:i4>5</vt:i4>
      </vt:variant>
      <vt:variant>
        <vt:lpwstr>https://www.abs.gov.au/statistics/people/crime-and-justice/personal-safety- australia/2021–22</vt:lpwstr>
      </vt:variant>
      <vt:variant>
        <vt:lpwstr/>
      </vt:variant>
      <vt:variant>
        <vt:i4>544604239</vt:i4>
      </vt:variant>
      <vt:variant>
        <vt:i4>90</vt:i4>
      </vt:variant>
      <vt:variant>
        <vt:i4>0</vt:i4>
      </vt:variant>
      <vt:variant>
        <vt:i4>5</vt:i4>
      </vt:variant>
      <vt:variant>
        <vt:lpwstr>https://www.dss.gov.au/the-national-plan-to-end-violence-against-women- and-children/the-national-plan-to-end-violence-against-women-and- children-2022–2032</vt:lpwstr>
      </vt:variant>
      <vt:variant>
        <vt:lpwstr/>
      </vt:variant>
      <vt:variant>
        <vt:i4>2752553</vt:i4>
      </vt:variant>
      <vt:variant>
        <vt:i4>87</vt:i4>
      </vt:variant>
      <vt:variant>
        <vt:i4>0</vt:i4>
      </vt:variant>
      <vt:variant>
        <vt:i4>5</vt:i4>
      </vt:variant>
      <vt:variant>
        <vt:lpwstr>https://www.ncas.au/findings-from-the-nmesc-report</vt:lpwstr>
      </vt:variant>
      <vt:variant>
        <vt:lpwstr/>
      </vt:variant>
      <vt:variant>
        <vt:i4>5374025</vt:i4>
      </vt:variant>
      <vt:variant>
        <vt:i4>84</vt:i4>
      </vt:variant>
      <vt:variant>
        <vt:i4>0</vt:i4>
      </vt:variant>
      <vt:variant>
        <vt:i4>5</vt:i4>
      </vt:variant>
      <vt:variant>
        <vt:lpwstr>https://www.abs.gov.au/statistics/people/crime-and-justice/personal-safety-australia/2021-22</vt:lpwstr>
      </vt:variant>
      <vt:variant>
        <vt:lpwstr/>
      </vt:variant>
      <vt:variant>
        <vt:i4>393222</vt:i4>
      </vt:variant>
      <vt:variant>
        <vt:i4>81</vt:i4>
      </vt:variant>
      <vt:variant>
        <vt:i4>0</vt:i4>
      </vt:variant>
      <vt:variant>
        <vt:i4>5</vt:i4>
      </vt:variant>
      <vt:variant>
        <vt:lpwstr>https://www.abc.net.au/news/2023-11-22/felixstow-murder-charge-laid-as-police-investigate-womens-deaths/103135096</vt:lpwstr>
      </vt:variant>
      <vt:variant>
        <vt:lpwstr/>
      </vt:variant>
      <vt:variant>
        <vt:i4>3604595</vt:i4>
      </vt:variant>
      <vt:variant>
        <vt:i4>78</vt:i4>
      </vt:variant>
      <vt:variant>
        <vt:i4>0</vt:i4>
      </vt:variant>
      <vt:variant>
        <vt:i4>5</vt:i4>
      </vt:variant>
      <vt:variant>
        <vt:lpwstr>https://www.abs.gov.au/statistics/people/crime-and-justice/recorded- crime-victims/2021</vt:lpwstr>
      </vt:variant>
      <vt:variant>
        <vt:lpwstr/>
      </vt:variant>
      <vt:variant>
        <vt:i4>5374025</vt:i4>
      </vt:variant>
      <vt:variant>
        <vt:i4>75</vt:i4>
      </vt:variant>
      <vt:variant>
        <vt:i4>0</vt:i4>
      </vt:variant>
      <vt:variant>
        <vt:i4>5</vt:i4>
      </vt:variant>
      <vt:variant>
        <vt:lpwstr>https://www.abs.gov.au/statistics/people/crime-and-justice/personal-safety-australia/2021-22</vt:lpwstr>
      </vt:variant>
      <vt:variant>
        <vt:lpwstr/>
      </vt:variant>
      <vt:variant>
        <vt:i4>1245235</vt:i4>
      </vt:variant>
      <vt:variant>
        <vt:i4>68</vt:i4>
      </vt:variant>
      <vt:variant>
        <vt:i4>0</vt:i4>
      </vt:variant>
      <vt:variant>
        <vt:i4>5</vt:i4>
      </vt:variant>
      <vt:variant>
        <vt:lpwstr/>
      </vt:variant>
      <vt:variant>
        <vt:lpwstr>_Toc171511279</vt:lpwstr>
      </vt:variant>
      <vt:variant>
        <vt:i4>1245235</vt:i4>
      </vt:variant>
      <vt:variant>
        <vt:i4>62</vt:i4>
      </vt:variant>
      <vt:variant>
        <vt:i4>0</vt:i4>
      </vt:variant>
      <vt:variant>
        <vt:i4>5</vt:i4>
      </vt:variant>
      <vt:variant>
        <vt:lpwstr/>
      </vt:variant>
      <vt:variant>
        <vt:lpwstr>_Toc171511278</vt:lpwstr>
      </vt:variant>
      <vt:variant>
        <vt:i4>1245235</vt:i4>
      </vt:variant>
      <vt:variant>
        <vt:i4>56</vt:i4>
      </vt:variant>
      <vt:variant>
        <vt:i4>0</vt:i4>
      </vt:variant>
      <vt:variant>
        <vt:i4>5</vt:i4>
      </vt:variant>
      <vt:variant>
        <vt:lpwstr/>
      </vt:variant>
      <vt:variant>
        <vt:lpwstr>_Toc171511277</vt:lpwstr>
      </vt:variant>
      <vt:variant>
        <vt:i4>1245235</vt:i4>
      </vt:variant>
      <vt:variant>
        <vt:i4>50</vt:i4>
      </vt:variant>
      <vt:variant>
        <vt:i4>0</vt:i4>
      </vt:variant>
      <vt:variant>
        <vt:i4>5</vt:i4>
      </vt:variant>
      <vt:variant>
        <vt:lpwstr/>
      </vt:variant>
      <vt:variant>
        <vt:lpwstr>_Toc171511276</vt:lpwstr>
      </vt:variant>
      <vt:variant>
        <vt:i4>1245235</vt:i4>
      </vt:variant>
      <vt:variant>
        <vt:i4>44</vt:i4>
      </vt:variant>
      <vt:variant>
        <vt:i4>0</vt:i4>
      </vt:variant>
      <vt:variant>
        <vt:i4>5</vt:i4>
      </vt:variant>
      <vt:variant>
        <vt:lpwstr/>
      </vt:variant>
      <vt:variant>
        <vt:lpwstr>_Toc171511275</vt:lpwstr>
      </vt:variant>
      <vt:variant>
        <vt:i4>1245235</vt:i4>
      </vt:variant>
      <vt:variant>
        <vt:i4>38</vt:i4>
      </vt:variant>
      <vt:variant>
        <vt:i4>0</vt:i4>
      </vt:variant>
      <vt:variant>
        <vt:i4>5</vt:i4>
      </vt:variant>
      <vt:variant>
        <vt:lpwstr/>
      </vt:variant>
      <vt:variant>
        <vt:lpwstr>_Toc171511274</vt:lpwstr>
      </vt:variant>
      <vt:variant>
        <vt:i4>1245235</vt:i4>
      </vt:variant>
      <vt:variant>
        <vt:i4>32</vt:i4>
      </vt:variant>
      <vt:variant>
        <vt:i4>0</vt:i4>
      </vt:variant>
      <vt:variant>
        <vt:i4>5</vt:i4>
      </vt:variant>
      <vt:variant>
        <vt:lpwstr/>
      </vt:variant>
      <vt:variant>
        <vt:lpwstr>_Toc171511273</vt:lpwstr>
      </vt:variant>
      <vt:variant>
        <vt:i4>1245235</vt:i4>
      </vt:variant>
      <vt:variant>
        <vt:i4>26</vt:i4>
      </vt:variant>
      <vt:variant>
        <vt:i4>0</vt:i4>
      </vt:variant>
      <vt:variant>
        <vt:i4>5</vt:i4>
      </vt:variant>
      <vt:variant>
        <vt:lpwstr/>
      </vt:variant>
      <vt:variant>
        <vt:lpwstr>_Toc171511272</vt:lpwstr>
      </vt:variant>
      <vt:variant>
        <vt:i4>1245235</vt:i4>
      </vt:variant>
      <vt:variant>
        <vt:i4>20</vt:i4>
      </vt:variant>
      <vt:variant>
        <vt:i4>0</vt:i4>
      </vt:variant>
      <vt:variant>
        <vt:i4>5</vt:i4>
      </vt:variant>
      <vt:variant>
        <vt:lpwstr/>
      </vt:variant>
      <vt:variant>
        <vt:lpwstr>_Toc171511271</vt:lpwstr>
      </vt:variant>
      <vt:variant>
        <vt:i4>1245235</vt:i4>
      </vt:variant>
      <vt:variant>
        <vt:i4>14</vt:i4>
      </vt:variant>
      <vt:variant>
        <vt:i4>0</vt:i4>
      </vt:variant>
      <vt:variant>
        <vt:i4>5</vt:i4>
      </vt:variant>
      <vt:variant>
        <vt:lpwstr/>
      </vt:variant>
      <vt:variant>
        <vt:lpwstr>_Toc171511270</vt:lpwstr>
      </vt:variant>
      <vt:variant>
        <vt:i4>1179699</vt:i4>
      </vt:variant>
      <vt:variant>
        <vt:i4>8</vt:i4>
      </vt:variant>
      <vt:variant>
        <vt:i4>0</vt:i4>
      </vt:variant>
      <vt:variant>
        <vt:i4>5</vt:i4>
      </vt:variant>
      <vt:variant>
        <vt:lpwstr/>
      </vt:variant>
      <vt:variant>
        <vt:lpwstr>_Toc171511269</vt:lpwstr>
      </vt:variant>
      <vt:variant>
        <vt:i4>1179699</vt:i4>
      </vt:variant>
      <vt:variant>
        <vt:i4>2</vt:i4>
      </vt:variant>
      <vt:variant>
        <vt:i4>0</vt:i4>
      </vt:variant>
      <vt:variant>
        <vt:i4>5</vt:i4>
      </vt:variant>
      <vt:variant>
        <vt:lpwstr/>
      </vt:variant>
      <vt:variant>
        <vt:lpwstr>_Toc171511268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In Equality - A gender analysis of the South Australian Budget 2024-25</dc:title>
  <dc:subject/>
  <dc:creator>Hofman, Laura (DHS)</dc:creator>
  <cp:keywords>OFW</cp:keywords>
  <dc:description/>
  <cp:lastModifiedBy>Edwards, Stephanie (DHS)</cp:lastModifiedBy>
  <cp:revision>26</cp:revision>
  <dcterms:created xsi:type="dcterms:W3CDTF">2024-07-10T04:25:00Z</dcterms:created>
  <dcterms:modified xsi:type="dcterms:W3CDTF">2024-07-10T05:30:00Z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b,c,d</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e,f,10</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y fmtid="{D5CDD505-2E9C-101B-9397-08002B2CF9AE}" pid="8" name="ContentTypeId">
    <vt:lpwstr>0x01010052617A1A1D6D5F47AA06DB6E5BA87FA2</vt:lpwstr>
  </property>
  <property fmtid="{D5CDD505-2E9C-101B-9397-08002B2CF9AE}" pid="9" name="MediaServiceImageTags">
    <vt:lpwstr/>
  </property>
</Properties>
</file>